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534AB7" w:val="clear"/>
            <w:tcMar>
              <w:top w:type="dxa" w:w="200"/>
              <w:left w:type="dxa" w:w="300"/>
              <w:bottom w:type="dxa" w:w="200"/>
              <w:right w:type="dxa" w:w="300"/>
            </w:tcMar>
          </w:tcPr>
          <w:p>
            <w:r>
              <w:rPr>
                <w:rFonts w:ascii="Arial" w:cs="Arial" w:eastAsia="Arial" w:hAnsi="Arial"/>
                <w:color w:val="CCCCFF"/>
                <w:sz w:val="20"/>
                <w:szCs w:val="20"/>
              </w:rPr>
              <w:t xml:space="preserve">DataProjectLab</w:t>
            </w:r>
          </w:p>
          <w:p>
            <w:pPr>
              <w:spacing w:before="60"/>
            </w:pPr>
            <w:r>
              <w:rPr>
                <w:rFonts w:ascii="Arial" w:cs="Arial" w:eastAsia="Arial" w:hAnsi="Arial"/>
                <w:b/>
                <w:bCs/>
                <w:color w:val="FFFFFF"/>
                <w:sz w:val="44"/>
                <w:szCs w:val="44"/>
              </w:rPr>
              <w:t xml:space="preserve">TelcomCI — RH &amp; Masse Salariale</w:t>
            </w:r>
          </w:p>
          <w:p>
            <w:pPr>
              <w:spacing w:before="80"/>
            </w:pPr>
            <w:r>
              <w:rPr>
                <w:rFonts w:ascii="Arial" w:cs="Arial" w:eastAsia="Arial" w:hAnsi="Arial"/>
                <w:color w:val="DDDDFF"/>
                <w:sz w:val="22"/>
                <w:szCs w:val="22"/>
              </w:rPr>
              <w:t xml:space="preserve">Fiche Projet — Création sur plateforme</w:t>
            </w:r>
          </w:p>
        </w:tc>
      </w:tr>
    </w:tbl>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Contexte plateforme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534AB7"/>
                <w:sz w:val="26"/>
                <w:szCs w:val="26"/>
              </w:rPr>
              <w:t xml:space="preserve">TelcomCI — RH &amp; Masse Salariale</w:t>
            </w:r>
          </w:p>
          <w:p>
            <w:pPr>
              <w:spacing w:after="60" w:before="0"/>
            </w:pPr>
            <w:r>
              <w:rPr>
                <w:rFonts w:ascii="Arial" w:cs="Arial" w:eastAsia="Arial" w:hAnsi="Arial"/>
                <w:i/>
                <w:iCs/>
                <w:color w:val="444444"/>
                <w:sz w:val="22"/>
                <w:szCs w:val="22"/>
              </w:rPr>
              <w:t xml:space="preserve">Pilotez les ressources humaines d'un opérateur télécom ivoirien — du diagnostic qualité jusqu'à l'analyse SQL avancée de la masse salariale, du turnover et de la performance des équipes.</w:t>
            </w:r>
          </w:p>
          <w:p>
            <w:pPr>
              <w:spacing w:after="0" w:before="0"/>
            </w:pPr>
            <w:r>
              <w:t xml:space="preserve"/>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46"/>
            </w:tblGrid>
            <w:tr>
              <w:tc>
                <w:tcPr>
                  <w:tcBorders>
                    <w:top w:val="none" w:color="FFFFFF" w:sz="0"/>
                    <w:left w:val="none" w:color="FFFFFF" w:sz="0"/>
                    <w:bottom w:val="none" w:color="FFFFFF" w:sz="0"/>
                    <w:right w:val="none" w:color="FFFFFF" w:sz="0"/>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SQL</w:t>
                  </w:r>
                </w:p>
              </w:tc>
              <w:tc>
                <w:tcPr>
                  <w:tcBorders>
                    <w:top w:val="none" w:color="FFFFFF" w:sz="0"/>
                    <w:left w:val="none" w:color="FFFFFF" w:sz="0"/>
                    <w:bottom w:val="none" w:color="FFFFFF" w:sz="0"/>
                    <w:right w:val="none" w:color="FFFFFF" w:sz="0"/>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Python</w:t>
                  </w:r>
                </w:p>
              </w:tc>
              <w:tc>
                <w:tcPr>
                  <w:tcBorders>
                    <w:top w:val="none" w:color="FFFFFF" w:sz="0"/>
                    <w:left w:val="none" w:color="FFFFFF" w:sz="0"/>
                    <w:bottom w:val="none" w:color="FFFFFF" w:sz="0"/>
                    <w:right w:val="none" w:color="FFFFFF" w:sz="0"/>
                  </w:tcBorders>
                  <w:shd w:fill="EEEDFE" w:val="clear"/>
                  <w:tcMar>
                    <w:top w:type="dxa" w:w="60"/>
                    <w:left w:type="dxa" w:w="120"/>
                    <w:bottom w:type="dxa" w:w="60"/>
                    <w:right w:type="dxa" w:w="120"/>
                  </w:tcMar>
                </w:tcPr>
                <w:p>
                  <w:pPr>
                    <w:jc w:val="center"/>
                  </w:pPr>
                  <w:r>
                    <w:rPr>
                      <w:rFonts w:ascii="Arial" w:cs="Arial" w:eastAsia="Arial" w:hAnsi="Arial"/>
                      <w:b/>
                      <w:bCs/>
                      <w:color w:val="534AB7"/>
                      <w:sz w:val="18"/>
                      <w:szCs w:val="18"/>
                    </w:rPr>
                    <w:t xml:space="preserve">Power BI</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r>
                </w:p>
              </w:tc>
            </w:tr>
          </w:tbl>
          <w:p>
            <w:pPr>
              <w:spacing w:after="0" w:before="0"/>
            </w:pPr>
            <w:r>
              <w:t xml:space="preserve"/>
            </w:r>
          </w:p>
          <w:p>
            <w:pPr>
              <w:spacing w:after="0" w:before="60"/>
            </w:pPr>
            <w:r>
              <w:rPr>
                <w:rFonts w:ascii="Arial" w:cs="Arial" w:eastAsia="Arial" w:hAnsi="Arial"/>
                <w:b/>
                <w:bCs/>
                <w:color w:val="333333"/>
                <w:sz w:val="20"/>
                <w:szCs w:val="20"/>
              </w:rPr>
              <w:t xml:space="preserve">Niveau : </w:t>
            </w:r>
            <w:r>
              <w:rPr>
                <w:rFonts w:ascii="Arial" w:cs="Arial" w:eastAsia="Arial" w:hAnsi="Arial"/>
                <w:color w:val="555555"/>
                <w:sz w:val="20"/>
                <w:szCs w:val="20"/>
              </w:rPr>
              <w:t xml:space="preserve">Avancé  </w:t>
            </w:r>
            <w:r>
              <w:rPr>
                <w:rFonts w:ascii="Arial" w:cs="Arial" w:eastAsia="Arial" w:hAnsi="Arial"/>
                <w:b/>
                <w:bCs/>
                <w:color w:val="333333"/>
                <w:sz w:val="20"/>
                <w:szCs w:val="20"/>
              </w:rPr>
              <w:t xml:space="preserve">  Durée : </w:t>
            </w:r>
            <w:r>
              <w:rPr>
                <w:rFonts w:ascii="Arial" w:cs="Arial" w:eastAsia="Arial" w:hAnsi="Arial"/>
                <w:color w:val="555555"/>
                <w:sz w:val="20"/>
                <w:szCs w:val="20"/>
              </w:rPr>
              <w:t xml:space="preserve">15 à 20 heures  </w:t>
            </w:r>
            <w:r>
              <w:rPr>
                <w:rFonts w:ascii="Arial" w:cs="Arial" w:eastAsia="Arial" w:hAnsi="Arial"/>
                <w:b/>
                <w:bCs/>
                <w:color w:val="333333"/>
                <w:sz w:val="20"/>
                <w:szCs w:val="20"/>
              </w:rPr>
              <w:t xml:space="preserve">  Plan : </w:t>
            </w:r>
            <w:r>
              <w:rPr>
                <w:rFonts w:ascii="Arial" w:cs="Arial" w:eastAsia="Arial" w:hAnsi="Arial"/>
                <w:color w:val="555555"/>
                <w:sz w:val="20"/>
                <w:szCs w:val="20"/>
              </w:rPr>
              <w:t xml:space="preserve">Standard</w:t>
            </w:r>
          </w:p>
          <w:p>
            <w:pPr>
              <w:spacing w:after="0" w:before="0"/>
            </w:pPr>
            <w:r>
              <w:t xml:space="preserve"/>
            </w:r>
          </w:p>
          <w:p>
            <w:pPr>
              <w:spacing w:after="0" w:before="60"/>
            </w:pPr>
            <w:r>
              <w:rPr>
                <w:rFonts w:ascii="Arial" w:cs="Arial" w:eastAsia="Arial" w:hAnsi="Arial"/>
                <w:b/>
                <w:bCs/>
                <w:color w:val="333333"/>
                <w:sz w:val="20"/>
                <w:szCs w:val="20"/>
              </w:rPr>
              <w:t xml:space="preserve">Bouton : </w:t>
            </w:r>
            <w:r>
              <w:rPr>
                <w:rFonts w:ascii="Arial" w:cs="Arial" w:eastAsia="Arial" w:hAnsi="Arial"/>
                <w:b/>
                <w:bCs/>
                <w:color w:val="534AB7"/>
                <w:sz w:val="20"/>
                <w:szCs w:val="20"/>
              </w:rPr>
              <w:t xml:space="preserve">Démarrer le projet</w:t>
            </w:r>
          </w:p>
        </w:tc>
      </w:tr>
    </w:tbl>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Identité du projet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Nom du projet</w:t>
            </w:r>
          </w:p>
        </w:tc>
        <w:tc>
          <w:tcPr>
            <w:tcW w:type="dxa" w:w="75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TelcomCI — RH &amp; Masse Salariale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Niveau</w:t>
            </w:r>
          </w:p>
        </w:tc>
        <w:tc>
          <w:tcPr>
            <w:tcW w:type="dxa" w:w="75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Avancé</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Durée estimée</w:t>
            </w:r>
          </w:p>
        </w:tc>
        <w:tc>
          <w:tcPr>
            <w:tcW w:type="dxa" w:w="75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15 à 20 heures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Outils</w:t>
            </w:r>
          </w:p>
        </w:tc>
        <w:tc>
          <w:tcPr>
            <w:tcW w:type="dxa" w:w="75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Python (pandas), SQL (DuckDB), Power BI, Jupyter Notebook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Plan minimum</w:t>
            </w:r>
          </w:p>
        </w:tc>
        <w:tc>
          <w:tcPr>
            <w:tcW w:type="dxa" w:w="75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Standard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Publié</w:t>
            </w:r>
          </w:p>
        </w:tc>
        <w:tc>
          <w:tcPr>
            <w:tcW w:type="dxa" w:w="75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Oui</w:t>
            </w:r>
          </w:p>
        </w:tc>
      </w:tr>
    </w:tbl>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Description du projet</w:t>
      </w:r>
    </w:p>
    <w:p>
      <w:pPr>
        <w:spacing w:after="60" w:before="60"/>
      </w:pPr>
      <w:r>
        <w:rPr>
          <w:rFonts w:ascii="Arial" w:cs="Arial" w:eastAsia="Arial" w:hAnsi="Arial"/>
          <w:color w:val="555555"/>
          <w:sz w:val="22"/>
          <w:szCs w:val="22"/>
        </w:rPr>
        <w:t xml:space="preserve">TelcomCI est un opérateur télécom ivoirien avec 510 employés répartis dans 10 départements. La DRH fait face à trois problèmes urgents qu'elle n'a pas les outils pour diagnostiquer :</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single" w:color="534AB7" w:sz="16"/>
              <w:bottom w:val="none" w:color="FFFFFF" w:sz="0"/>
              <w:right w:val="none" w:color="FFFFFF" w:sz="0"/>
            </w:tcBorders>
            <w:shd w:fill="F8F8FF" w:val="clear"/>
            <w:tcMar>
              <w:top w:type="dxa" w:w="120"/>
              <w:left w:type="dxa" w:w="240"/>
              <w:bottom w:type="dxa" w:w="120"/>
              <w:right w:type="dxa" w:w="240"/>
            </w:tcMar>
          </w:tcPr>
          <w:p>
            <w:r>
              <w:rPr>
                <w:rFonts w:ascii="Arial" w:cs="Arial" w:eastAsia="Arial" w:hAnsi="Arial"/>
                <w:i/>
                <w:iCs/>
                <w:color w:val="444444"/>
                <w:sz w:val="22"/>
                <w:szCs w:val="22"/>
              </w:rPr>
              <w:t xml:space="preserve">"Nous ne savons pas exactement combien nous coûte la masse salariale par département. Notre taux de turnover est trop élevé et nous ne savons pas pourquoi. Les absences non justifiées ont augmenté sans que personne ne l'ait détecté."</w:t>
            </w:r>
          </w:p>
          <w:p>
            <w:pPr>
              <w:spacing w:before="80"/>
            </w:pPr>
            <w:r>
              <w:rPr>
                <w:rFonts w:ascii="Arial" w:cs="Arial" w:eastAsia="Arial" w:hAnsi="Arial"/>
                <w:color w:val="888888"/>
                <w:sz w:val="20"/>
                <w:szCs w:val="20"/>
              </w:rPr>
              <w:t xml:space="preserve">— DRH, TelcomCI</w:t>
            </w:r>
          </w:p>
        </w:tc>
      </w:tr>
    </w:tbl>
    <w:p>
      <w:pPr>
        <w:spacing w:after="0" w:before="0"/>
      </w:pPr>
      <w:r>
        <w:t xml:space="preserve"/>
      </w:r>
    </w:p>
    <w:p>
      <w:pPr>
        <w:spacing w:after="60" w:before="60"/>
      </w:pPr>
      <w:r>
        <w:rPr>
          <w:rFonts w:ascii="Arial" w:cs="Arial" w:eastAsia="Arial" w:hAnsi="Arial"/>
          <w:color w:val="555555"/>
          <w:sz w:val="22"/>
          <w:szCs w:val="22"/>
        </w:rPr>
        <w:t xml:space="preserve">Ce projet analyse 3,5 ans de données RH pour répondre à 5 questions business précises : évolution de la masse salariale, identification des départements à risque, détection des talents sous-payés, coût réel du recrutement par canal et évolution de l'absentéisme. L'apprenant maîtrise l'ensemble de la chaîne analytique RH — du nettoyage des données brutes jusqu'au dashboard Power BI de pilotage.</w:t>
      </w:r>
    </w:p>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r>
              <w:rPr>
                <w:rFonts w:ascii="Arial" w:cs="Arial" w:eastAsia="Arial" w:hAnsi="Arial"/>
                <w:i/>
                <w:iCs/>
                <w:color w:val="333333"/>
                <w:sz w:val="22"/>
                <w:szCs w:val="22"/>
              </w:rPr>
              <w:t xml:space="preserve">Vous êtes Data Analyst mandaté par la DRH de TelcomCI pour transformer les données RH brutes en outil de pilotage opérationnel. À partir de 6 tables couvrant janvier 2021 — juin 2024, votre mission est d'identifier les départements en tension, d'analyser les causes du turnover et de construire un dashboard Power BI permettant à la direction de prendre des décisions RH éclairées en temps réel.</w:t>
            </w:r>
          </w:p>
        </w:tc>
      </w:tr>
    </w:tbl>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Objectifs pédagogiques</w:t>
      </w:r>
    </w:p>
    <w:p>
      <w:pPr>
        <w:pStyle w:val="ListParagraph"/>
        <w:numPr>
          <w:ilvl w:val="0"/>
          <w:numId w:val="2"/>
        </w:numPr>
        <w:spacing w:after="40" w:before="40"/>
      </w:pPr>
      <w:r>
        <w:rPr>
          <w:rFonts w:ascii="Arial" w:cs="Arial" w:eastAsia="Arial" w:hAnsi="Arial"/>
          <w:color w:val="555555"/>
          <w:sz w:val="22"/>
          <w:szCs w:val="22"/>
        </w:rPr>
        <w:t xml:space="preserve">Diagnostiquer la qualité de données RH brutes et documenter les anomalies</w:t>
      </w:r>
    </w:p>
    <w:p>
      <w:pPr>
        <w:pStyle w:val="ListParagraph"/>
        <w:numPr>
          <w:ilvl w:val="0"/>
          <w:numId w:val="2"/>
        </w:numPr>
        <w:spacing w:after="40" w:before="40"/>
      </w:pPr>
      <w:r>
        <w:rPr>
          <w:rFonts w:ascii="Arial" w:cs="Arial" w:eastAsia="Arial" w:hAnsi="Arial"/>
          <w:color w:val="555555"/>
          <w:sz w:val="22"/>
          <w:szCs w:val="22"/>
        </w:rPr>
        <w:t xml:space="preserve">Construire des vues SQL de nettoyage non destructives (CREATE OR REPLACE VIEW)</w:t>
      </w:r>
    </w:p>
    <w:p>
      <w:pPr>
        <w:pStyle w:val="ListParagraph"/>
        <w:numPr>
          <w:ilvl w:val="0"/>
          <w:numId w:val="2"/>
        </w:numPr>
        <w:spacing w:after="40" w:before="40"/>
      </w:pPr>
      <w:r>
        <w:rPr>
          <w:rFonts w:ascii="Arial" w:cs="Arial" w:eastAsia="Arial" w:hAnsi="Arial"/>
          <w:b/>
          <w:bCs/>
          <w:color w:val="333333"/>
          <w:sz w:val="22"/>
          <w:szCs w:val="22"/>
        </w:rPr>
        <w:t xml:space="preserve">LAG() — </w:t>
      </w:r>
      <w:r>
        <w:rPr>
          <w:rFonts w:ascii="Arial" w:cs="Arial" w:eastAsia="Arial" w:hAnsi="Arial"/>
          <w:color w:val="555555"/>
          <w:sz w:val="22"/>
          <w:szCs w:val="22"/>
        </w:rPr>
        <w:t xml:space="preserve">Calculer et interpréter la masse salariale mensuelle avec </w:t>
      </w:r>
    </w:p>
    <w:p>
      <w:pPr>
        <w:pStyle w:val="ListParagraph"/>
        <w:numPr>
          <w:ilvl w:val="0"/>
          <w:numId w:val="2"/>
        </w:numPr>
        <w:spacing w:after="40" w:before="40"/>
      </w:pPr>
      <w:r>
        <w:rPr>
          <w:rFonts w:ascii="Arial" w:cs="Arial" w:eastAsia="Arial" w:hAnsi="Arial"/>
          <w:b/>
          <w:bCs/>
          <w:color w:val="333333"/>
          <w:sz w:val="22"/>
          <w:szCs w:val="22"/>
        </w:rPr>
        <w:t xml:space="preserve">NTILE(4) — </w:t>
      </w:r>
      <w:r>
        <w:rPr>
          <w:rFonts w:ascii="Arial" w:cs="Arial" w:eastAsia="Arial" w:hAnsi="Arial"/>
          <w:color w:val="555555"/>
          <w:sz w:val="22"/>
          <w:szCs w:val="22"/>
        </w:rPr>
        <w:t xml:space="preserve">Segmenter les employés en quadrants performance × salaire avec </w:t>
      </w:r>
    </w:p>
    <w:p>
      <w:pPr>
        <w:pStyle w:val="ListParagraph"/>
        <w:numPr>
          <w:ilvl w:val="0"/>
          <w:numId w:val="2"/>
        </w:numPr>
        <w:spacing w:after="40" w:before="40"/>
      </w:pPr>
      <w:r>
        <w:rPr>
          <w:rFonts w:ascii="Arial" w:cs="Arial" w:eastAsia="Arial" w:hAnsi="Arial"/>
          <w:color w:val="555555"/>
          <w:sz w:val="22"/>
          <w:szCs w:val="22"/>
        </w:rPr>
        <w:t xml:space="preserve">Calculer les médianes avec PERCENTILE_CONT(0.5) et construire une matrice 2×2</w:t>
      </w:r>
    </w:p>
    <w:p>
      <w:pPr>
        <w:pStyle w:val="ListParagraph"/>
        <w:numPr>
          <w:ilvl w:val="0"/>
          <w:numId w:val="2"/>
        </w:numPr>
        <w:spacing w:after="40" w:before="40"/>
      </w:pPr>
      <w:r>
        <w:rPr>
          <w:rFonts w:ascii="Arial" w:cs="Arial" w:eastAsia="Arial" w:hAnsi="Arial"/>
          <w:color w:val="555555"/>
          <w:sz w:val="22"/>
          <w:szCs w:val="22"/>
        </w:rPr>
        <w:t xml:space="preserve">Analyser le coût du turnover et identifier les 114 talents à risque de départ</w:t>
      </w:r>
    </w:p>
    <w:p>
      <w:pPr>
        <w:pStyle w:val="ListParagraph"/>
        <w:numPr>
          <w:ilvl w:val="0"/>
          <w:numId w:val="2"/>
        </w:numPr>
        <w:spacing w:after="40" w:before="40"/>
      </w:pPr>
      <w:r>
        <w:rPr>
          <w:rFonts w:ascii="Arial" w:cs="Arial" w:eastAsia="Arial" w:hAnsi="Arial"/>
          <w:color w:val="555555"/>
          <w:sz w:val="22"/>
          <w:szCs w:val="22"/>
        </w:rPr>
        <w:t xml:space="preserve">Remplacer PIVOT SQL Server et les procédures stockées par Python/DuckDB</w:t>
      </w:r>
    </w:p>
    <w:p>
      <w:pPr>
        <w:pStyle w:val="ListParagraph"/>
        <w:numPr>
          <w:ilvl w:val="0"/>
          <w:numId w:val="2"/>
        </w:numPr>
        <w:spacing w:after="40" w:before="40"/>
      </w:pPr>
      <w:r>
        <w:rPr>
          <w:rFonts w:ascii="Arial" w:cs="Arial" w:eastAsia="Arial" w:hAnsi="Arial"/>
          <w:color w:val="555555"/>
          <w:sz w:val="22"/>
          <w:szCs w:val="22"/>
        </w:rPr>
        <w:t xml:space="preserve">Construire un dashboard Power BI 3 pages avec mesures DAX</w:t>
      </w:r>
    </w:p>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Données utilisées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246"/>
      </w:tblGrid>
      <w:tr>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Lignes</w:t>
            </w:r>
          </w:p>
        </w:tc>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departements.csv</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10 départements — effectif cible, budget annuel, responsable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employes.csv</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510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Profil complet — poste, contrat, salaire base, statut, date départ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salaires.csv</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17 319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Historique mensuel — brut, primes, cotisations, net, statut paiement</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absences.csv</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622</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Absences — motif, nb_jours, champ justifiee (booléen)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recrutements.csv</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350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Canal, coût, durée, nb candidatures, embauche (booléen)</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evaluations.csv</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1 221</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3 notes individuelles + note_globale + recommandation RH</w:t>
            </w:r>
          </w:p>
        </w:tc>
      </w:tr>
    </w:tbl>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Étapes du projet — 3 étapes structurées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5046"/>
      </w:tblGrid>
      <w:tr>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Slug</w:t>
            </w:r>
          </w:p>
        </w:tc>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color w:val="534AB7"/>
                <w:sz w:val="18"/>
                <w:szCs w:val="18"/>
              </w:rPr>
              <w:t xml:space="preserve">exploration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2"/>
                <w:szCs w:val="22"/>
              </w:rPr>
              <w:t xml:space="preserve">Contexte &amp; Exploration</w:t>
            </w:r>
          </w:p>
        </w:tc>
        <w:tc>
          <w:tcPr>
            <w:tcW w:type="dxa" w:w="50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Chargement des 6 tables via DuckDB, diagnostic des 5 anomalies, 5 KPIs RH fondamentaux — effectif vs cible, masse salariale, turnover, démographie, absentéisme.</w:t>
            </w:r>
          </w:p>
        </w:tc>
      </w:tr>
      <w:tr>
        <w:tc>
          <w:tcPr>
            <w:tcW w:type="dxa" w:w="7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color w:val="534AB7"/>
                <w:sz w:val="18"/>
                <w:szCs w:val="18"/>
              </w:rPr>
              <w:t xml:space="preserve">sql-analytics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2"/>
                <w:szCs w:val="22"/>
              </w:rPr>
              <w:t xml:space="preserve">SQL Analytics RH</w:t>
            </w:r>
          </w:p>
        </w:tc>
        <w:tc>
          <w:tcPr>
            <w:tcW w:type="dxa" w:w="50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Vues de nettoyage, évolution masse salariale avec LAG(), turnover par CTE et RANK(), matrice performance × salaire avec NTILE et PERCENTILE_CONT, heatmap absentéisme, coût recrutement par canal.</w:t>
            </w:r>
          </w:p>
        </w:tc>
      </w:tr>
      <w:tr>
        <w:tc>
          <w:tcPr>
            <w:tcW w:type="dxa" w:w="7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color w:val="534AB7"/>
                <w:sz w:val="18"/>
                <w:szCs w:val="18"/>
              </w:rPr>
              <w:t xml:space="preserve">powerbi</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2"/>
                <w:szCs w:val="22"/>
              </w:rPr>
              <w:t xml:space="preserve">Dashboard Power BI</w:t>
            </w:r>
          </w:p>
        </w:tc>
        <w:tc>
          <w:tcPr>
            <w:tcW w:type="dxa" w:w="504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Connexion aux vues DuckDB, 3 pages Power BI — Vue executive, Masse salariale &amp; Turnover, Performance &amp; Alertes RH. 12 mesures DAX dont l'alerte rouge sur les talents sous-payés.</w:t>
            </w:r>
          </w:p>
        </w:tc>
      </w:tr>
    </w:tbl>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Anomalies détectées et KPIs de référence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Borders>
              <w:top w:val="none" w:color="FFFFFF" w:sz="0"/>
              <w:left w:val="none" w:color="FFFFFF" w:sz="0"/>
              <w:bottom w:val="none" w:color="FFFFFF" w:sz="0"/>
              <w:right w:val="none" w:color="FFFFFF" w:sz="0"/>
            </w:tcBorders>
            <w:tcMar>
              <w:top w:type="dxa" w:w="0"/>
              <w:left w:type="dxa" w:w="0"/>
              <w:bottom w:type="dxa" w:w="0"/>
              <w:right w:type="dxa" w:w="80"/>
            </w:tcMar>
          </w:tcPr>
          <w:p>
            <w:pPr>
              <w:spacing w:after="100" w:before="0"/>
            </w:pPr>
            <w:r>
              <w:rPr>
                <w:rFonts w:ascii="Arial" w:cs="Arial" w:eastAsia="Arial" w:hAnsi="Arial"/>
                <w:b/>
                <w:bCs/>
                <w:color w:val="534AB7"/>
                <w:sz w:val="22"/>
                <w:szCs w:val="22"/>
              </w:rPr>
              <w:t xml:space="preserve">Anomalies (NB1)</w:t>
            </w:r>
          </w:p>
          <w:p>
            <w:pPr>
              <w:pStyle w:val="ListParagraph"/>
              <w:numPr>
                <w:ilvl w:val="0"/>
                <w:numId w:val="2"/>
              </w:numPr>
              <w:spacing w:after="30" w:before="30"/>
            </w:pPr>
            <w:r>
              <w:rPr>
                <w:rFonts w:ascii="Arial" w:cs="Arial" w:eastAsia="Arial" w:hAnsi="Arial"/>
                <w:b/>
                <w:bCs/>
                <w:color w:val="E24B4A"/>
                <w:sz w:val="20"/>
                <w:szCs w:val="20"/>
              </w:rPr>
              <w:t xml:space="preserve">2 </w:t>
            </w:r>
            <w:r>
              <w:rPr>
                <w:rFonts w:ascii="Arial" w:cs="Arial" w:eastAsia="Arial" w:hAnsi="Arial"/>
                <w:color w:val="555555"/>
                <w:sz w:val="20"/>
                <w:szCs w:val="20"/>
              </w:rPr>
              <w:t xml:space="preserve">salaires base aberrants (employes)</w:t>
            </w:r>
          </w:p>
          <w:p>
            <w:pPr>
              <w:pStyle w:val="ListParagraph"/>
              <w:numPr>
                <w:ilvl w:val="0"/>
                <w:numId w:val="2"/>
              </w:numPr>
              <w:spacing w:after="30" w:before="30"/>
            </w:pPr>
            <w:r>
              <w:rPr>
                <w:rFonts w:ascii="Arial" w:cs="Arial" w:eastAsia="Arial" w:hAnsi="Arial"/>
                <w:b/>
                <w:bCs/>
                <w:color w:val="E24B4A"/>
                <w:sz w:val="20"/>
                <w:szCs w:val="20"/>
              </w:rPr>
              <w:t xml:space="preserve">2 </w:t>
            </w:r>
            <w:r>
              <w:rPr>
                <w:rFonts w:ascii="Arial" w:cs="Arial" w:eastAsia="Arial" w:hAnsi="Arial"/>
                <w:color w:val="555555"/>
                <w:sz w:val="20"/>
                <w:szCs w:val="20"/>
              </w:rPr>
              <w:t xml:space="preserve">emails dupliqués (employes)</w:t>
            </w:r>
          </w:p>
          <w:p>
            <w:pPr>
              <w:pStyle w:val="ListParagraph"/>
              <w:numPr>
                <w:ilvl w:val="0"/>
                <w:numId w:val="2"/>
              </w:numPr>
              <w:spacing w:after="30" w:before="30"/>
            </w:pPr>
            <w:r>
              <w:rPr>
                <w:rFonts w:ascii="Arial" w:cs="Arial" w:eastAsia="Arial" w:hAnsi="Arial"/>
                <w:b/>
                <w:bCs/>
                <w:color w:val="E24B4A"/>
                <w:sz w:val="20"/>
                <w:szCs w:val="20"/>
              </w:rPr>
              <w:t xml:space="preserve">3 </w:t>
            </w:r>
            <w:r>
              <w:rPr>
                <w:rFonts w:ascii="Arial" w:cs="Arial" w:eastAsia="Arial" w:hAnsi="Arial"/>
                <w:color w:val="555555"/>
                <w:sz w:val="20"/>
                <w:szCs w:val="20"/>
              </w:rPr>
              <w:t xml:space="preserve">salaires nets négatifs (salaires)</w:t>
            </w:r>
          </w:p>
          <w:p>
            <w:pPr>
              <w:pStyle w:val="ListParagraph"/>
              <w:numPr>
                <w:ilvl w:val="0"/>
                <w:numId w:val="2"/>
              </w:numPr>
              <w:spacing w:after="30" w:before="30"/>
            </w:pPr>
            <w:r>
              <w:rPr>
                <w:rFonts w:ascii="Arial" w:cs="Arial" w:eastAsia="Arial" w:hAnsi="Arial"/>
                <w:b/>
                <w:bCs/>
                <w:color w:val="E24B4A"/>
                <w:sz w:val="20"/>
                <w:szCs w:val="20"/>
              </w:rPr>
              <w:t xml:space="preserve">179 </w:t>
            </w:r>
            <w:r>
              <w:rPr>
                <w:rFonts w:ascii="Arial" w:cs="Arial" w:eastAsia="Arial" w:hAnsi="Arial"/>
                <w:color w:val="555555"/>
                <w:sz w:val="20"/>
                <w:szCs w:val="20"/>
              </w:rPr>
              <w:t xml:space="preserve">paiements 'En attente' (salaires)</w:t>
            </w:r>
          </w:p>
          <w:p>
            <w:pPr>
              <w:pStyle w:val="ListParagraph"/>
              <w:numPr>
                <w:ilvl w:val="0"/>
                <w:numId w:val="2"/>
              </w:numPr>
              <w:spacing w:after="30" w:before="30"/>
            </w:pPr>
            <w:r>
              <w:rPr>
                <w:rFonts w:ascii="Arial" w:cs="Arial" w:eastAsia="Arial" w:hAnsi="Arial"/>
                <w:b/>
                <w:bCs/>
                <w:color w:val="E24B4A"/>
                <w:sz w:val="20"/>
                <w:szCs w:val="20"/>
              </w:rPr>
              <w:t xml:space="preserve">3 </w:t>
            </w:r>
            <w:r>
              <w:rPr>
                <w:rFonts w:ascii="Arial" w:cs="Arial" w:eastAsia="Arial" w:hAnsi="Arial"/>
                <w:color w:val="555555"/>
                <w:sz w:val="20"/>
                <w:szCs w:val="20"/>
              </w:rPr>
              <w:t xml:space="preserve">absences nb_jours négatifs</w:t>
            </w:r>
          </w:p>
        </w:tc>
        <w:tc>
          <w:tcPr>
            <w:tcBorders>
              <w:top w:val="none" w:color="FFFFFF" w:sz="0"/>
              <w:left w:val="none" w:color="FFFFFF" w:sz="0"/>
              <w:bottom w:val="none" w:color="FFFFFF" w:sz="0"/>
              <w:right w:val="none" w:color="FFFFFF" w:sz="0"/>
            </w:tcBorders>
            <w:tcMar>
              <w:top w:type="dxa" w:w="0"/>
              <w:left w:type="dxa" w:w="80"/>
              <w:bottom w:type="dxa" w:w="0"/>
              <w:right w:type="dxa" w:w="0"/>
            </w:tcMar>
          </w:tcPr>
          <w:p>
            <w:pPr>
              <w:spacing w:after="100" w:before="0"/>
            </w:pPr>
            <w:r>
              <w:rPr>
                <w:rFonts w:ascii="Arial" w:cs="Arial" w:eastAsia="Arial" w:hAnsi="Arial"/>
                <w:b/>
                <w:bCs/>
                <w:color w:val="534AB7"/>
                <w:sz w:val="22"/>
                <w:szCs w:val="22"/>
              </w:rPr>
              <w:t xml:space="preserve">KPIs de référence</w:t>
            </w:r>
          </w:p>
          <w:p>
            <w:pPr>
              <w:pStyle w:val="ListParagraph"/>
              <w:numPr>
                <w:ilvl w:val="0"/>
                <w:numId w:val="2"/>
              </w:numPr>
              <w:spacing w:after="30" w:before="30"/>
            </w:pPr>
            <w:r>
              <w:rPr>
                <w:rFonts w:ascii="Arial" w:cs="Arial" w:eastAsia="Arial" w:hAnsi="Arial"/>
                <w:b/>
                <w:bCs/>
                <w:color w:val="534AB7"/>
                <w:sz w:val="20"/>
                <w:szCs w:val="20"/>
              </w:rPr>
              <w:t xml:space="preserve">450 </w:t>
            </w:r>
            <w:r>
              <w:rPr>
                <w:rFonts w:ascii="Arial" w:cs="Arial" w:eastAsia="Arial" w:hAnsi="Arial"/>
                <w:color w:val="555555"/>
                <w:sz w:val="20"/>
                <w:szCs w:val="20"/>
              </w:rPr>
              <w:t xml:space="preserve">employés actifs sur 510</w:t>
            </w:r>
          </w:p>
          <w:p>
            <w:pPr>
              <w:pStyle w:val="ListParagraph"/>
              <w:numPr>
                <w:ilvl w:val="0"/>
                <w:numId w:val="2"/>
              </w:numPr>
              <w:spacing w:after="30" w:before="30"/>
            </w:pPr>
            <w:r>
              <w:rPr>
                <w:rFonts w:ascii="Arial" w:cs="Arial" w:eastAsia="Arial" w:hAnsi="Arial"/>
                <w:b/>
                <w:bCs/>
                <w:color w:val="534AB7"/>
                <w:sz w:val="20"/>
                <w:szCs w:val="20"/>
              </w:rPr>
              <w:t xml:space="preserve">457 M FCFA </w:t>
            </w:r>
            <w:r>
              <w:rPr>
                <w:rFonts w:ascii="Arial" w:cs="Arial" w:eastAsia="Arial" w:hAnsi="Arial"/>
                <w:color w:val="555555"/>
                <w:sz w:val="20"/>
                <w:szCs w:val="20"/>
              </w:rPr>
              <w:t xml:space="preserve">masse salariale brute juin 2024</w:t>
            </w:r>
          </w:p>
          <w:p>
            <w:pPr>
              <w:pStyle w:val="ListParagraph"/>
              <w:numPr>
                <w:ilvl w:val="0"/>
                <w:numId w:val="2"/>
              </w:numPr>
              <w:spacing w:after="30" w:before="30"/>
            </w:pPr>
            <w:r>
              <w:rPr>
                <w:rFonts w:ascii="Arial" w:cs="Arial" w:eastAsia="Arial" w:hAnsi="Arial"/>
                <w:b/>
                <w:bCs/>
                <w:color w:val="534AB7"/>
                <w:sz w:val="20"/>
                <w:szCs w:val="20"/>
              </w:rPr>
              <w:t xml:space="preserve">11.8% </w:t>
            </w:r>
            <w:r>
              <w:rPr>
                <w:rFonts w:ascii="Arial" w:cs="Arial" w:eastAsia="Arial" w:hAnsi="Arial"/>
                <w:color w:val="555555"/>
                <w:sz w:val="20"/>
                <w:szCs w:val="20"/>
              </w:rPr>
              <w:t xml:space="preserve">turnover global</w:t>
            </w:r>
          </w:p>
          <w:p>
            <w:pPr>
              <w:pStyle w:val="ListParagraph"/>
              <w:numPr>
                <w:ilvl w:val="0"/>
                <w:numId w:val="2"/>
              </w:numPr>
              <w:spacing w:after="30" w:before="30"/>
            </w:pPr>
            <w:r>
              <w:rPr>
                <w:rFonts w:ascii="Arial" w:cs="Arial" w:eastAsia="Arial" w:hAnsi="Arial"/>
                <w:b/>
                <w:bCs/>
                <w:color w:val="534AB7"/>
                <w:sz w:val="20"/>
                <w:szCs w:val="20"/>
              </w:rPr>
              <w:t xml:space="preserve">23.3% </w:t>
            </w:r>
            <w:r>
              <w:rPr>
                <w:rFonts w:ascii="Arial" w:cs="Arial" w:eastAsia="Arial" w:hAnsi="Arial"/>
                <w:color w:val="555555"/>
                <w:sz w:val="20"/>
                <w:szCs w:val="20"/>
              </w:rPr>
              <w:t xml:space="preserve">turnover Marketing (CRITIQUE)</w:t>
            </w:r>
          </w:p>
          <w:p>
            <w:pPr>
              <w:pStyle w:val="ListParagraph"/>
              <w:numPr>
                <w:ilvl w:val="0"/>
                <w:numId w:val="2"/>
              </w:numPr>
              <w:spacing w:after="30" w:before="30"/>
            </w:pPr>
            <w:r>
              <w:rPr>
                <w:rFonts w:ascii="Arial" w:cs="Arial" w:eastAsia="Arial" w:hAnsi="Arial"/>
                <w:b/>
                <w:bCs/>
                <w:color w:val="534AB7"/>
                <w:sz w:val="20"/>
                <w:szCs w:val="20"/>
              </w:rPr>
              <w:t xml:space="preserve">114 </w:t>
            </w:r>
            <w:r>
              <w:rPr>
                <w:rFonts w:ascii="Arial" w:cs="Arial" w:eastAsia="Arial" w:hAnsi="Arial"/>
                <w:color w:val="555555"/>
                <w:sz w:val="20"/>
                <w:szCs w:val="20"/>
              </w:rPr>
              <w:t xml:space="preserve">Top Performers Sous-Payés</w:t>
            </w:r>
          </w:p>
          <w:p>
            <w:pPr>
              <w:pStyle w:val="ListParagraph"/>
              <w:numPr>
                <w:ilvl w:val="0"/>
                <w:numId w:val="2"/>
              </w:numPr>
              <w:spacing w:after="30" w:before="30"/>
            </w:pPr>
            <w:r>
              <w:rPr>
                <w:rFonts w:ascii="Arial" w:cs="Arial" w:eastAsia="Arial" w:hAnsi="Arial"/>
                <w:b/>
                <w:bCs/>
                <w:color w:val="534AB7"/>
                <w:sz w:val="20"/>
                <w:szCs w:val="20"/>
              </w:rPr>
              <w:t xml:space="preserve">~309 M FCFA </w:t>
            </w:r>
            <w:r>
              <w:rPr>
                <w:rFonts w:ascii="Arial" w:cs="Arial" w:eastAsia="Arial" w:hAnsi="Arial"/>
                <w:color w:val="555555"/>
                <w:sz w:val="20"/>
                <w:szCs w:val="20"/>
              </w:rPr>
              <w:t xml:space="preserve">coût total turnover 2021-2024</w:t>
            </w:r>
          </w:p>
        </w:tc>
      </w:tr>
    </w:tbl>
    <w:p>
      <w:pPr>
        <w:spacing w:after="0" w:before="0"/>
      </w:pPr>
      <w:r>
        <w:t xml:space="preserve"/>
      </w:r>
    </w:p>
    <w:p>
      <w:pPr>
        <w:pBdr>
          <w:bottom w:val="single" w:color="534AB7" w:sz="8" w:space="4"/>
        </w:pBdr>
        <w:spacing w:after="160" w:before="320"/>
      </w:pPr>
      <w:r>
        <w:rPr>
          <w:rFonts w:ascii="Arial" w:cs="Arial" w:eastAsia="Arial" w:hAnsi="Arial"/>
          <w:b/>
          <w:bCs/>
          <w:color w:val="534AB7"/>
          <w:sz w:val="32"/>
          <w:szCs w:val="32"/>
        </w:rPr>
        <w:t xml:space="preserve">Ressources du projet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746"/>
      </w:tblGrid>
      <w:tr>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Ressource</w:t>
            </w:r>
          </w:p>
        </w:tc>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Dataset TelcomCI RH (6 CSV)</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Dataset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departements, employes, salaires, absences, recrutements, evaluations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Notebook 1 (étudiant)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Notebook</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Contexte &amp; Découverte des Données RH</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Notebook 2 (étudiant)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Notebook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SQL Analytics — Masse Salariale, Turnover &amp; Performance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Notebook 3 (étudiant)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Notebook</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Dashboard Power BI &amp; Storytelling RH</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Notebook 1 SOLUTION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Solution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Correction complète Notebook 1</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Notebook 2 SOLUTION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Solution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Correction complète Notebook 2</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Notebook 3 SOLUTION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Solution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Correction complète Notebook 3</w:t>
            </w:r>
          </w:p>
        </w:tc>
      </w:tr>
    </w:tbl>
    <w:p>
      <w:pPr>
        <w:spacing w:after="0" w:before="0"/>
      </w:pPr>
      <w:r>
        <w:t xml:space="preserve"/>
      </w:r>
    </w:p>
    <w:p>
      <w:pPr>
        <w:spacing w:after="0" w:before="0"/>
      </w:pPr>
      <w:r>
        <w:t xml:space="preserve"/>
      </w:r>
    </w:p>
    <w:p>
      <w:pPr>
        <w:pBdr>
          <w:top w:val="single" w:color="DDDDDD" w:sz="4" w:space="8"/>
        </w:pBdr>
        <w:spacing w:before="240"/>
        <w:jc w:val="center"/>
      </w:pPr>
      <w:r>
        <w:rPr>
          <w:rFonts w:ascii="Arial" w:cs="Arial" w:eastAsia="Arial" w:hAnsi="Arial"/>
          <w:i/>
          <w:iCs/>
          <w:color w:val="AAAAAA"/>
          <w:sz w:val="18"/>
          <w:szCs w:val="18"/>
        </w:rPr>
        <w:t xml:space="preserve">DataProjectLab — apprendre la data sur des cas concrets, structurés et orientés métier.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2026-04-18T02:10:58.287Z</dcterms:created>
  <dcterms:modified xsi:type="dcterms:W3CDTF">2026-04-18T02:10:58.288Z</dcterms:modified>
</cp:coreProperties>
</file>

<file path=docProps/custom.xml><?xml version="1.0" encoding="utf-8"?>
<Properties xmlns="http://schemas.openxmlformats.org/officeDocument/2006/custom-properties" xmlns:vt="http://schemas.openxmlformats.org/officeDocument/2006/docPropsVTypes"/>
</file>