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1E3A5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560" w:after="80"/>
            </w:pPr>
            <w:r/>
            <w:r>
              <w:rPr>
                <w:rFonts w:ascii="Calibri" w:hAnsi="Calibri"/>
                <w:color w:val="9AB6E0"/>
                <w:sz w:val="18"/>
              </w:rPr>
              <w:t>DATAPROJECTLAB · POWER BI · EDTECH</w:t>
            </w:r>
          </w:p>
          <w:p>
            <w:pPr>
              <w:spacing w:before="40" w:after="0"/>
            </w:pPr>
            <w:r>
              <w:rPr>
                <w:rFonts w:ascii="Georgia" w:hAnsi="Georgia"/>
                <w:b/>
                <w:color w:val="FFFFFF"/>
                <w:sz w:val="56"/>
              </w:rPr>
              <w:t>EduTrack Analytics</w:t>
            </w:r>
          </w:p>
          <w:p>
            <w:pPr>
              <w:spacing w:before="40" w:after="560"/>
            </w:pPr>
            <w:r>
              <w:rPr>
                <w:rFonts w:ascii="Calibri" w:hAnsi="Calibri"/>
                <w:i/>
                <w:color w:val="CBD5E0"/>
                <w:sz w:val="24"/>
              </w:rPr>
              <w:t>Rapport de synthèse — Détection du décrochage</w:t>
            </w:r>
          </w:p>
        </w:tc>
        <w:tc>
          <w:tcPr>
            <w:tcW w:type="dxa" w:w="2835"/>
            <w:shd w:val="clear" w:color="auto" w:fill="1E3A5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76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4699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cach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469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40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spacing w:before="0" w:after="80"/>
      </w:pPr>
      <w:r>
        <w:rPr>
          <w:rFonts w:ascii="Calibri" w:hAnsi="Calibri"/>
          <w:b w:val="0"/>
          <w:i/>
          <w:color w:val="6B7280"/>
          <w:sz w:val="22"/>
        </w:rPr>
        <w:t>Document destiné à la direction pédagogique d'EduTrack</w:t>
      </w:r>
    </w:p>
    <w:p>
      <w:pPr>
        <w:spacing w:before="0" w:after="400"/>
      </w:pPr>
      <w:r>
        <w:rPr>
          <w:rFonts w:ascii="Calibri" w:hAnsi="Calibri"/>
          <w:b w:val="0"/>
          <w:i w:val="0"/>
          <w:color w:val="6B7280"/>
          <w:sz w:val="20"/>
        </w:rPr>
        <w:t>Date : Mai 2026   ·   Version 1.0   ·   Préparé par DataProjectLab Academy</w:t>
      </w:r>
    </w:p>
    <w:p>
      <w:pPr>
        <w:spacing w:before="160" w:after="200"/>
      </w:pPr>
      <w:r>
        <w:rPr>
          <w:rFonts w:ascii="Georgia" w:hAnsi="Georgia"/>
          <w:b/>
          <w:i w:val="0"/>
          <w:color w:val="1E3A5F"/>
          <w:sz w:val="28"/>
        </w:rPr>
        <w:t>Chiffres clés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534AB7"/>
                <w:sz w:val="40"/>
              </w:rPr>
              <w:t>4 500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1FA67D"/>
                <w:sz w:val="40"/>
              </w:rPr>
              <w:t>33,3 %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E5494D"/>
                <w:sz w:val="40"/>
              </w:rPr>
              <w:t>17,7 %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534AB7"/>
                <w:sz w:val="40"/>
              </w:rPr>
              <w:t>778 M FCFA</w:t>
            </w:r>
          </w:p>
        </w:tc>
      </w:tr>
      <w:tr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Apprenants actifs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Taux de complétion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Taux d'abandon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Revenu généré</w:t>
            </w:r>
          </w:p>
        </w:tc>
      </w:tr>
    </w:tbl>
    <w:p>
      <w:pPr>
        <w:spacing w:before="0" w:after="160"/>
      </w:pPr>
      <w:r>
        <w:rPr>
          <w:rFonts w:ascii="Calibri" w:hAnsi="Calibri"/>
          <w:b w:val="0"/>
          <w:i w:val="0"/>
          <w:color w:val="111827"/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E5494D"/>
                <w:sz w:val="40"/>
              </w:rPr>
              <w:t>1 613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F2A93B"/>
                <w:sz w:val="40"/>
              </w:rPr>
              <w:t>4,23 / 5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534AB7"/>
                <w:sz w:val="40"/>
              </w:rPr>
              <w:t>12 parcours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Georgia" w:hAnsi="Georgia"/>
                <w:b/>
                <w:color w:val="1FA67D"/>
                <w:sz w:val="40"/>
              </w:rPr>
              <w:t>79,6 %</w:t>
            </w:r>
          </w:p>
        </w:tc>
      </w:tr>
      <w:tr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Apprenants en alerte ML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CSAT moyen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Catalogue actif</w:t>
            </w:r>
          </w:p>
        </w:tc>
        <w:tc>
          <w:tcPr>
            <w:tcW w:type="dxa" w:w="243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8"/>
              </w:rPr>
              <w:t>Recall modèle ML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Georgia" w:hAnsi="Georgia"/>
          <w:b/>
          <w:i w:val="0"/>
          <w:color w:val="1E3A5F"/>
          <w:sz w:val="30"/>
        </w:rPr>
        <w:t>1.  Synthèse exécutive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2"/>
        </w:rPr>
        <w:t>EduTrack Academy a accueilli 4 500 apprenants et généré 778 M FCFA (1,19 M EUR) sur les 12 derniers mois, avec une progression de +21 % des inscriptions vs N-1. Mais le taux de complétion reste à 33,3 %, soit 7 points sous la cible interne de 40 %.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11827"/>
          <w:sz w:val="22"/>
        </w:rPr>
        <w:t>Trois enjeux ressortent du modèle de risque ML : 1 613 apprenants (36 % du parc actif) sont en alerte de décrochage, dont 150 en zone critique nécessitant une intervention humaine immédiate. La qualité pédagogique varie fortement : 4 instructeurs sur 12 sont classés « À coacher » (faible complétion ET CSAT en dessous de la médiane).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111827"/>
          <w:sz w:val="22"/>
        </w:rPr>
        <w:t>Trois leviers sont disponibles à 6 mois : (1) coaching ciblé des instructeurs sous-performants, (2) séquence d'engagement automatisée sur les apprenants à risque, (3) capitalisation sur les Top 5 parcours qui portent 60 % du revenu.</w:t>
      </w:r>
    </w:p>
    <w:p>
      <w:pPr>
        <w:spacing w:before="80" w:after="160"/>
      </w:pPr>
      <w:r>
        <w:rPr>
          <w:rFonts w:ascii="Georgia" w:hAnsi="Georgia"/>
          <w:b/>
          <w:i w:val="0"/>
          <w:color w:val="1E3A5F"/>
          <w:sz w:val="30"/>
        </w:rPr>
        <w:t>2.  Constats data-driven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9F9F8"/>
            <w:tcBorders>
              <w:top w:val="single" w:sz="24" w:color="534AB7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80" w:after="4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Pédagogie — un écart structurel à la cible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11827"/>
                <w:sz w:val="20"/>
              </w:rPr>
              <w:t>Taux de complétion 33,3 % vs cible 40 % (-7 pp). Taux d'abandon 17,7 %, stable depuis 12 mois. CSAT 4,23 / 5 (correct mais polarisé : 4 instructeurs tirent la moyenne vers le bas). Pire parcours par domaine : Machine Learning Appliqué (Data &amp; IA, 16,9 % d'abandon).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9F9F8"/>
            <w:tcBorders>
              <w:top w:val="single" w:sz="24" w:color="E5494D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80" w:after="4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Risque ML — 1 613 apprenants à mobiliser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11827"/>
                <w:sz w:val="20"/>
              </w:rPr>
              <w:t>Le modèle a identifié 1 613 apprenants à risque sur 4 500 actifs. Répartition : ~150 ROUGE (score &gt; 0,80, action urgente), ~150 ORANGE (0,60-0,80, relance ciblée), ~1 300 VIOLET (0,30-0,60, rappel doux). Recall 79,6 % : sur 100 apprenants qui décrocheront réellement, le modèle en identifie 80.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 w:val="0"/>
          <w:color w:val="111827"/>
          <w:sz w:val="1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9F9F8"/>
            <w:tcBorders>
              <w:top w:val="single" w:sz="24" w:color="1FA67D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before="80" w:after="4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Business — concentration sur le Top 5</w:t>
            </w:r>
          </w:p>
          <w:p>
            <w:pPr>
              <w:spacing w:before="0" w:after="80"/>
            </w:pPr>
            <w:r>
              <w:rPr>
                <w:rFonts w:ascii="Calibri" w:hAnsi="Calibri"/>
                <w:color w:val="111827"/>
                <w:sz w:val="20"/>
              </w:rPr>
              <w:t>Les 5 premiers parcours (React &amp; Node.js, Machine Learning, Python Django, Data Python, Power BI) génèrent 60 % du revenu. Mobile Money domine les paiements (50 %), suivi de la Carte (26 %). Côte d'Ivoire = 40 % du parc, les 23-32 ans représentent 60 %.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Georgia" w:hAnsi="Georgia"/>
          <w:b/>
          <w:i w:val="0"/>
          <w:color w:val="1E3A5F"/>
          <w:sz w:val="30"/>
        </w:rPr>
        <w:t>3.  Recommandations prioritaires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139"/>
        <w:gridCol w:w="2154"/>
        <w:gridCol w:w="2436"/>
      </w:tblGrid>
      <w:tr>
        <w:tc>
          <w:tcPr>
            <w:tcW w:type="dxa" w:w="2436"/>
            <w:shd w:val="clear" w:color="auto" w:fill="1E3A5F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  <w:tc>
          <w:tcPr>
            <w:tcW w:type="dxa" w:w="2436"/>
            <w:shd w:val="clear" w:color="auto" w:fill="1E3A5F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36"/>
            <w:shd w:val="clear" w:color="auto" w:fill="1E3A5F"/>
            <w:tcBorders>
              <w:top w:val="single" w:sz="4" w:color="1E3A5F"/>
              <w:left w:val="single" w:sz="4" w:color="1E3A5F"/>
              <w:bottom w:val="single" w:sz="4" w:color="1E3A5F"/>
              <w:right w:val="single" w:sz="4" w:color="1E3A5F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 attendu</w:t>
            </w:r>
          </w:p>
        </w:tc>
        <w:tc>
          <w:tcPr>
            <w:tcW w:type="dxa" w:w="2436"/>
          </w:tcPr>
          <w:p/>
        </w:tc>
      </w:tr>
      <w:tr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24" w:color="534AB7"/>
            </w:tcBorders>
          </w:tcPr>
          <w:p>
            <w:pPr>
              <w:spacing w:before="80" w:after="8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R1 — Plan de coaching instructeurs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11827"/>
                <w:sz w:val="20"/>
              </w:rPr>
              <w:t>Identifier les 4 instructeurs en quadrant « À coacher » et « À accompagner ». Programme de 6 semaines : revue pédagogique mensuelle, observation de classe, refonte du syllabus du parcours qui décroche le plus.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E3A5F"/>
                <w:sz w:val="19"/>
              </w:rPr>
              <w:t>+2 pp de complétion (33,3 % → 35,3 %)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6 semaines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Coût estimé : 8 M FCFA</w:t>
            </w:r>
          </w:p>
        </w:tc>
        <w:tc>
          <w:tcPr>
            <w:tcW w:type="dxa" w:w="2436"/>
          </w:tcPr>
          <w:p/>
        </w:tc>
      </w:tr>
      <w:tr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24" w:color="E5494D"/>
            </w:tcBorders>
          </w:tcPr>
          <w:p>
            <w:pPr>
              <w:spacing w:before="80" w:after="8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R2 — Séquence d'engagement ML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11827"/>
                <w:sz w:val="20"/>
              </w:rPr>
              <w:t>Activer 3 parcours d'action selon le niveau d'alerte : appel téléphonique pour les ~150 ROUGE, email personnalisé pour les ~150 ORANGE, push de réengagement pour les ~1 300 VIOLET. Mesurer le re-engagement à 7 et 30 jours.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E3A5F"/>
                <w:sz w:val="19"/>
              </w:rPr>
              <w:t>-3 pp d'abandon (17,7 % → 14,7 %)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3 mois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Coût estimé : 4 M FCFA</w:t>
            </w:r>
          </w:p>
        </w:tc>
        <w:tc>
          <w:tcPr>
            <w:tcW w:type="dxa" w:w="2436"/>
          </w:tcPr>
          <w:p/>
        </w:tc>
      </w:tr>
      <w:tr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24" w:color="1FA67D"/>
            </w:tcBorders>
          </w:tcPr>
          <w:p>
            <w:pPr>
              <w:spacing w:before="80" w:after="80"/>
            </w:pPr>
            <w:r/>
            <w:r>
              <w:rPr>
                <w:rFonts w:ascii="Georgia" w:hAnsi="Georgia"/>
                <w:b/>
                <w:color w:val="1E3A5F"/>
                <w:sz w:val="22"/>
              </w:rPr>
              <w:t>R3 — Capitalisation Top 5 + refonte des pires parcours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11827"/>
                <w:sz w:val="20"/>
              </w:rPr>
              <w:t>Doubler la capacité d'inscription sur les Top 5 (campagne acquisition + places supplémentaires). Auditer puis refondre les 4 pires parcours par domaine (Machine Learning Appliqué, React &amp; Node.js Fullstack, SEO &amp; Growth, Management de Projet).</w:t>
            </w:r>
          </w:p>
        </w:tc>
        <w:tc>
          <w:tcPr>
            <w:tcW w:type="dxa" w:w="2436"/>
            <w:tcBorders>
              <w:top w:val="single" w:sz="4" w:color="E5E7EB"/>
              <w:bottom w:val="single" w:sz="4" w:color="E5E7EB"/>
              <w:right w:val="single" w:sz="4" w:color="E5E7EB"/>
              <w:left w:val="single" w:sz="4" w:color="E5E7EB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E3A5F"/>
                <w:sz w:val="19"/>
              </w:rPr>
              <w:t>+15 % de revenu (778 M → 895 M FCFA)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6 mois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6B7280"/>
                <w:sz w:val="19"/>
              </w:rPr>
              <w:t>ROI : x4</w:t>
            </w:r>
          </w:p>
        </w:tc>
        <w:tc>
          <w:tcPr>
            <w:tcW w:type="dxa" w:w="2436"/>
          </w:tcPr>
          <w:p/>
        </w:tc>
      </w:tr>
    </w:tbl>
    <w:p>
      <w:r>
        <w:br w:type="page"/>
      </w:r>
    </w:p>
    <w:p>
      <w:pPr>
        <w:spacing w:before="0" w:after="160"/>
      </w:pPr>
      <w:r>
        <w:rPr>
          <w:rFonts w:ascii="Georgia" w:hAnsi="Georgia"/>
          <w:b/>
          <w:i w:val="0"/>
          <w:color w:val="1E3A5F"/>
          <w:sz w:val="30"/>
        </w:rPr>
        <w:t>4.  Limites du modèle et des données</w:t>
      </w:r>
    </w:p>
    <w:p>
      <w:pPr>
        <w:pStyle w:val="ListBullet"/>
        <w:spacing w:before="0" w:after="40"/>
      </w:pPr>
      <w:r>
        <w:rPr>
          <w:rFonts w:ascii="Calibri" w:hAnsi="Calibri"/>
          <w:color w:val="111827"/>
          <w:sz w:val="20"/>
        </w:rPr>
        <w:t>Recall modèle ML : 79,6 %. Sur 100 apprenants qui décrochent réellement, le modèle en flag 80 — les 20 manqués constituent une zone aveugle.</w:t>
      </w:r>
    </w:p>
    <w:p>
      <w:pPr>
        <w:pStyle w:val="ListBullet"/>
        <w:spacing w:before="0" w:after="40"/>
      </w:pPr>
      <w:r>
        <w:rPr>
          <w:rFonts w:ascii="Calibri" w:hAnsi="Calibri"/>
          <w:color w:val="111827"/>
          <w:sz w:val="20"/>
        </w:rPr>
        <w:t>Le score de risque s'appuie sur des features comportementales (jours d'inactivité, engagement, progression) mais n'intègre pas le contexte personnel (charge professionnelle, événements de vie).</w:t>
      </w:r>
    </w:p>
    <w:p>
      <w:pPr>
        <w:pStyle w:val="ListBullet"/>
        <w:spacing w:before="0" w:after="40"/>
      </w:pPr>
      <w:r>
        <w:rPr>
          <w:rFonts w:ascii="Calibri" w:hAnsi="Calibri"/>
          <w:color w:val="111827"/>
          <w:sz w:val="20"/>
        </w:rPr>
        <w:t>Saisonnalité partiellement intégrée : la baisse de juin n'est expliquée qu'à 60 % par les variables disponibles.</w:t>
      </w:r>
    </w:p>
    <w:p>
      <w:pPr>
        <w:pStyle w:val="ListBullet"/>
        <w:spacing w:before="0" w:after="40"/>
      </w:pPr>
      <w:r>
        <w:rPr>
          <w:rFonts w:ascii="Calibri" w:hAnsi="Calibri"/>
          <w:color w:val="111827"/>
          <w:sz w:val="20"/>
        </w:rPr>
        <w:t>Pas de feedback utilisateur post-abandon : on ne sait pas pourquoi un apprenant arrête. Une enquête qualitative à 30 jours après un abandon permettrait d'affiner les actions de rétention.</w:t>
      </w:r>
    </w:p>
    <w:p>
      <w:pPr>
        <w:pStyle w:val="ListBullet"/>
        <w:spacing w:before="0" w:after="40"/>
      </w:pPr>
      <w:r>
        <w:rPr>
          <w:rFonts w:ascii="Calibri" w:hAnsi="Calibri"/>
          <w:color w:val="111827"/>
          <w:sz w:val="20"/>
        </w:rPr>
        <w:t>Modèle entraîné sur 24 mois d'historique : à réentraîner trimestriellement pour suivre l'évolution des comportements.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11827"/>
          <w:sz w:val="16"/>
        </w:rPr>
      </w:r>
    </w:p>
    <w:p>
      <w:pPr>
        <w:spacing w:before="80" w:after="160"/>
      </w:pPr>
      <w:r>
        <w:rPr>
          <w:rFonts w:ascii="Georgia" w:hAnsi="Georgia"/>
          <w:b/>
          <w:i w:val="0"/>
          <w:color w:val="1E3A5F"/>
          <w:sz w:val="30"/>
        </w:rPr>
        <w:t>5.  Prochaines étapes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7483"/>
      </w:tblGrid>
      <w:tr>
        <w:tc>
          <w:tcPr>
            <w:tcW w:type="dxa" w:w="4873"/>
            <w:shd w:val="clear" w:color="auto" w:fill="1FA67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22"/>
              </w:rPr>
              <w:t>À 1 mois</w:t>
            </w:r>
          </w:p>
        </w:tc>
        <w:tc>
          <w:tcPr>
            <w:tcW w:type="dxa" w:w="487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ind w:left="227"/>
            </w:pPr>
            <w:r/>
            <w:r>
              <w:rPr>
                <w:rFonts w:ascii="Calibri" w:hAnsi="Calibri"/>
                <w:color w:val="111827"/>
                <w:sz w:val="20"/>
              </w:rPr>
              <w:t>Lancer la séquence ROUGE (150 appels téléphoniques). Cadrer le programme de coaching avec les 4 instructeurs. Mesurer baseline avant intervention.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11827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7483"/>
      </w:tblGrid>
      <w:tr>
        <w:tc>
          <w:tcPr>
            <w:tcW w:type="dxa" w:w="4873"/>
            <w:shd w:val="clear" w:color="auto" w:fill="F2A93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22"/>
              </w:rPr>
              <w:t>À 3 mois</w:t>
            </w:r>
          </w:p>
        </w:tc>
        <w:tc>
          <w:tcPr>
            <w:tcW w:type="dxa" w:w="487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ind w:left="227"/>
            </w:pPr>
            <w:r/>
            <w:r>
              <w:rPr>
                <w:rFonts w:ascii="Calibri" w:hAnsi="Calibri"/>
                <w:color w:val="111827"/>
                <w:sz w:val="20"/>
              </w:rPr>
              <w:t>Activer ORANGE et VIOLET. Premier point d'étape coaching (revue pédagogique). Évaluer l'effet sur le taux d'abandon mensuel.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11827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7483"/>
      </w:tblGrid>
      <w:tr>
        <w:tc>
          <w:tcPr>
            <w:tcW w:type="dxa" w:w="4873"/>
            <w:shd w:val="clear" w:color="auto" w:fill="534AB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22"/>
              </w:rPr>
              <w:t>À 6 mois</w:t>
            </w:r>
          </w:p>
        </w:tc>
        <w:tc>
          <w:tcPr>
            <w:tcW w:type="dxa" w:w="487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120"/>
              <w:ind w:left="227"/>
            </w:pPr>
            <w:r/>
            <w:r>
              <w:rPr>
                <w:rFonts w:ascii="Calibri" w:hAnsi="Calibri"/>
                <w:color w:val="111827"/>
                <w:sz w:val="20"/>
              </w:rPr>
              <w:t>Bilan complet des 3 recommandations : impact sur complétion (cible +2 pp), abandon (cible -3 pp), revenu (cible +15 %). Décision de poursuite ou ajustement.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11827"/>
          <w:sz w:val="8"/>
        </w:rPr>
      </w:r>
    </w:p>
    <w:p>
      <w:r>
        <w:br w:type="page"/>
      </w:r>
    </w:p>
    <w:p>
      <w:pPr>
        <w:spacing w:before="0" w:after="160"/>
      </w:pPr>
      <w:r>
        <w:rPr>
          <w:rFonts w:ascii="Georgia" w:hAnsi="Georgia"/>
          <w:b/>
          <w:i w:val="0"/>
          <w:color w:val="1E3A5F"/>
          <w:sz w:val="28"/>
        </w:rPr>
        <w:t>Annexe — Glossaire des métriques clés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Taux de complétion — </w:t>
      </w:r>
      <w:r>
        <w:rPr>
          <w:rFonts w:ascii="Calibri" w:hAnsi="Calibri"/>
          <w:color w:val="111827"/>
          <w:sz w:val="20"/>
        </w:rPr>
        <w:t>Pourcentage d'inscriptions ayant atteint le statut « Termine » sur le total des inscriptions. Cible interne EduTrack : 40 %.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Taux d'abandon — </w:t>
      </w:r>
      <w:r>
        <w:rPr>
          <w:rFonts w:ascii="Calibri" w:hAnsi="Calibri"/>
          <w:color w:val="111827"/>
          <w:sz w:val="20"/>
        </w:rPr>
        <w:t>Pourcentage d'inscriptions ayant atteint le statut « Abandonne ». Stable à 17,7 % sur 12 mois.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CSAT — </w:t>
      </w:r>
      <w:r>
        <w:rPr>
          <w:rFonts w:ascii="Calibri" w:hAnsi="Calibri"/>
          <w:color w:val="111827"/>
          <w:sz w:val="20"/>
        </w:rPr>
        <w:t>Customer Satisfaction Score — note moyenne (1 à 5) attribuée par les apprenants en fin de parcours.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Quadrant Instructeur — </w:t>
      </w:r>
      <w:r>
        <w:rPr>
          <w:rFonts w:ascii="Calibri" w:hAnsi="Calibri"/>
          <w:color w:val="111827"/>
          <w:sz w:val="20"/>
        </w:rPr>
        <w:t>Classement croisant Taux de complétion (médiane 33,3 %) et CSAT (médiane 4,23) en 4 segments : Top Performer, À accompagner, Coach CSAT, À coacher.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Score de risque ML — </w:t>
      </w:r>
      <w:r>
        <w:rPr>
          <w:rFonts w:ascii="Calibri" w:hAnsi="Calibri"/>
          <w:color w:val="111827"/>
          <w:sz w:val="20"/>
        </w:rPr>
        <w:t>Probabilité (0-1) qu'un apprenant abandonne, prédite par un modèle de classification entraîné sur 24 mois d'historique.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Niveau d'alerte — </w:t>
      </w:r>
      <w:r>
        <w:rPr>
          <w:rFonts w:ascii="Calibri" w:hAnsi="Calibri"/>
          <w:color w:val="111827"/>
          <w:sz w:val="20"/>
        </w:rPr>
        <w:t>Discrétisation du score : ROUGE (&gt;0,80, intervention humaine), ORANGE (0,60-0,80, relance ciblée), VIOLET (0,30-0,60, rappel doux), VERT (&lt;0,30, RAS).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Recall — </w:t>
      </w:r>
      <w:r>
        <w:rPr>
          <w:rFonts w:ascii="Calibri" w:hAnsi="Calibri"/>
          <w:color w:val="111827"/>
          <w:sz w:val="20"/>
        </w:rPr>
        <w:t>Sur 100 apprenants qui abandonneront réellement, combien le modèle en a-t-il identifiés ? EduTrack : 79,6 %.</w:t>
      </w:r>
    </w:p>
    <w:p>
      <w:pPr>
        <w:spacing w:before="40" w:after="80"/>
      </w:pPr>
      <w:r>
        <w:rPr>
          <w:rFonts w:ascii="Calibri" w:hAnsi="Calibri"/>
          <w:b/>
          <w:color w:val="1E3A5F"/>
          <w:sz w:val="20"/>
        </w:rPr>
        <w:t xml:space="preserve">RevPAR — </w:t>
      </w:r>
      <w:r>
        <w:rPr>
          <w:rFonts w:ascii="Calibri" w:hAnsi="Calibri"/>
          <w:color w:val="111827"/>
          <w:sz w:val="20"/>
        </w:rPr>
        <w:t>Revenue per Available Spot — revenu moyen par place ouverte sur la plateforme. Indicateur de rentabilité par parcours.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111827"/>
          <w:sz w:val="20"/>
        </w:rPr>
      </w:r>
    </w:p>
    <w:p>
      <w:pPr>
        <w:jc w:val="center"/>
      </w:pPr>
      <w:r>
        <w:rPr>
          <w:rFonts w:ascii="Calibri" w:hAnsi="Calibri"/>
          <w:i/>
          <w:color w:val="6B7280"/>
          <w:sz w:val="18"/>
        </w:rPr>
        <w:t>DataProjectLab — apprendre la data sur des cas concrets, structurés et orientés métier.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