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42FF5" w14:textId="77777777" w:rsidR="002147C6" w:rsidRDefault="00001178" w:rsidP="0098750C">
      <w:pPr>
        <w:pStyle w:val="Heading2"/>
        <w:spacing w:line="480" w:lineRule="auto"/>
      </w:pPr>
      <w:bookmarkStart w:id="0" w:name="the-current-and-future-impact-of-covid-1"/>
      <w:r>
        <w:t>T</w:t>
      </w:r>
      <w:r>
        <w:t>he current and future impact of COVID-19 on suicide rate in Australia</w:t>
      </w:r>
      <w:bookmarkEnd w:id="0"/>
    </w:p>
    <w:p w14:paraId="0A10C6D7" w14:textId="5F793355" w:rsidR="002147C6" w:rsidRDefault="0098750C" w:rsidP="0098750C">
      <w:pPr>
        <w:pStyle w:val="Heading6"/>
        <w:spacing w:line="480" w:lineRule="auto"/>
      </w:pPr>
      <w:bookmarkStart w:id="1" w:name="suicide-rates-in-australia-are-not-incre"/>
      <w:r>
        <w:t>Are s</w:t>
      </w:r>
      <w:r w:rsidR="00001178">
        <w:t xml:space="preserve">uicide rates in </w:t>
      </w:r>
      <w:r>
        <w:t>Australia</w:t>
      </w:r>
      <w:r w:rsidR="00001178">
        <w:t xml:space="preserve"> increasing with distress levels in the population</w:t>
      </w:r>
      <w:bookmarkEnd w:id="1"/>
      <w:r>
        <w:t>?</w:t>
      </w:r>
    </w:p>
    <w:p w14:paraId="40A8CABF" w14:textId="77777777" w:rsidR="002147C6" w:rsidRDefault="00001178" w:rsidP="0098750C">
      <w:pPr>
        <w:pStyle w:val="FirstParagraph"/>
        <w:spacing w:line="480" w:lineRule="auto"/>
      </w:pPr>
      <w:r>
        <w:t>There is much uncertai</w:t>
      </w:r>
      <w:r>
        <w:t xml:space="preserve">nty around the immediate and </w:t>
      </w:r>
      <w:proofErr w:type="gramStart"/>
      <w:r>
        <w:t>long term</w:t>
      </w:r>
      <w:proofErr w:type="gramEnd"/>
      <w:r>
        <w:t xml:space="preserve"> impacts of the Coronavirus Pandemic (COVID-19) on suicide mortality in Australia. There is little evidence from previous pandemics as to their effects on suicide rates, and modelling has produced a wide range of resul</w:t>
      </w:r>
      <w:r>
        <w:t xml:space="preserve">ts reflecting this uncertainty </w:t>
      </w:r>
      <w:hyperlink r:id="rId7">
        <w:r>
          <w:rPr>
            <w:rStyle w:val="Hyperlink"/>
          </w:rPr>
          <w:t>(Tang et al 2020 Insight)</w:t>
        </w:r>
      </w:hyperlink>
      <w:r>
        <w:t>. Historically the suicide rate has changed over time in Australia as social, economic and enviro</w:t>
      </w:r>
      <w:r>
        <w:t>nmental factors influence suicide risk. Such trends have provided useful information on instrumental factors, such as restricting access to means of suicide and reducing the risks posed by social or economic factors such as job loss. However the economic i</w:t>
      </w:r>
      <w:r>
        <w:t xml:space="preserve">mpact of COVID-19 also differs from previous economic downturns as it represents a disruption to supply rather than reduced demand. Given these novel conditions, the emerging empirical data on the current situation serves as a valuable indicator to inform </w:t>
      </w:r>
      <w:r>
        <w:t>our response.</w:t>
      </w:r>
    </w:p>
    <w:p w14:paraId="2676D469" w14:textId="77777777" w:rsidR="002147C6" w:rsidRDefault="00001178" w:rsidP="0098750C">
      <w:pPr>
        <w:pStyle w:val="BodyText"/>
        <w:spacing w:line="480" w:lineRule="auto"/>
      </w:pPr>
      <w:r>
        <w:rPr>
          <w:b/>
        </w:rPr>
        <w:t>Impact of social and economic events on suicide rate</w:t>
      </w:r>
      <w:r>
        <w:t>. The highest annual age-standardised rate for males in the last century occurred in 1930 (29.8 deaths per 100,000 population), during the Great Depression—a period of high unemployment, par</w:t>
      </w:r>
      <w:r>
        <w:t xml:space="preserve">ticularly among males. The rise in both male and female suicide rates in the 1960s has been attributed, in part, to the unrestricted availability of barbiturate sedatives </w:t>
      </w:r>
      <w:hyperlink r:id="rId8">
        <w:r>
          <w:rPr>
            <w:rStyle w:val="Hyperlink"/>
          </w:rPr>
          <w:t>(Oliver &amp; Hetzel 1972; Whitlock 1975)</w:t>
        </w:r>
      </w:hyperlink>
      <w:r>
        <w:t>. Subsequent falls in these rates in the late 1960s and early 1970s have in turn been attributed to restrictions to the availability of these drugs in July 1967 (AIHW: Har</w:t>
      </w:r>
      <w:r>
        <w:t xml:space="preserve">rison &amp; Henley 2014). Likewise, rates of suicide by use of firearms declined </w:t>
      </w:r>
      <w:r>
        <w:lastRenderedPageBreak/>
        <w:t>steeply for both males and females from 1987 after the introduction of gun control restrictions in some states of Australia, and fell further after additional reforms in 1996. Hig</w:t>
      </w:r>
      <w:r>
        <w:t>h rates of suicide in the late 1980s and early 1990s coincided with a period of economic uncertainty in Australia.</w:t>
      </w:r>
    </w:p>
    <w:p w14:paraId="37BF7D83" w14:textId="77777777" w:rsidR="002147C6" w:rsidRDefault="00001178" w:rsidP="0098750C">
      <w:pPr>
        <w:pStyle w:val="BodyText"/>
        <w:spacing w:line="480" w:lineRule="auto"/>
      </w:pPr>
      <w:r>
        <w:rPr>
          <w:b/>
        </w:rPr>
        <w:t>Recent trends in psychological distress have been increasing</w:t>
      </w:r>
      <w:r>
        <w:t>. Given the commonly observed association between psychological distress and suic</w:t>
      </w:r>
      <w:r>
        <w:t>ide among individuals, we might expect that the general level of psychological distress in the community is a good indicator of the suicide rate as well. For instance, population-estimates of psychological distress act as a final mediator in one widely ack</w:t>
      </w:r>
      <w:r>
        <w:t>nowledged model, which predicts up to a 50 percent increase in the suicide rate in the next two years in Australia (Atkinson ref).</w:t>
      </w:r>
    </w:p>
    <w:p w14:paraId="483EDB5D" w14:textId="77777777" w:rsidR="002147C6" w:rsidRDefault="00001178" w:rsidP="0098750C">
      <w:pPr>
        <w:pStyle w:val="BodyText"/>
        <w:spacing w:line="480" w:lineRule="auto"/>
      </w:pPr>
      <w:r>
        <w:t>A widely-used indication of the mental health and wellbeing of the Australian population is the Kessler Psychological Distres</w:t>
      </w:r>
      <w:r>
        <w:t xml:space="preserve">s Scale </w:t>
      </w:r>
      <w:hyperlink r:id="rId9">
        <w:r>
          <w:rPr>
            <w:rStyle w:val="Hyperlink"/>
          </w:rPr>
          <w:t>(K10)</w:t>
        </w:r>
      </w:hyperlink>
      <w:r>
        <w:t>. The K10 questionnaire was developed to yield a global measure of psychosocial distress, based on questions about people’s level of nervousn</w:t>
      </w:r>
      <w:r>
        <w:t>ess, agitation, psychological fatigue and depression in the past four weeks.</w:t>
      </w:r>
    </w:p>
    <w:p w14:paraId="2E725148" w14:textId="77777777" w:rsidR="002147C6" w:rsidRDefault="00001178" w:rsidP="0098750C">
      <w:pPr>
        <w:pStyle w:val="BodyText"/>
        <w:spacing w:line="480" w:lineRule="auto"/>
      </w:pPr>
      <w:r>
        <w:t xml:space="preserve">The Australian Bureau of Statistics (ABS) estimates the psychological distress levels for the Australian population from the </w:t>
      </w:r>
      <w:r>
        <w:rPr>
          <w:i/>
        </w:rPr>
        <w:t>National Health Survey</w:t>
      </w:r>
      <w:r>
        <w:t>. The ABS reports representative</w:t>
      </w:r>
      <w:r>
        <w:t xml:space="preserve"> estimates of the population with “low”, “moderate”, “high” or “very high” levels of psychological distress. Here we describe the proportion of people reporting some level of distress (i.e., greater than “low”) by calculating the complement of the proporti</w:t>
      </w:r>
      <w:r>
        <w:t>on reporting “low” levels of distress (</w:t>
      </w:r>
      <w:r>
        <w:rPr>
          <w:i/>
        </w:rPr>
        <w:t>P</w:t>
      </w:r>
      <w:r>
        <w:t xml:space="preserve">distressed = 1 — </w:t>
      </w:r>
      <w:r>
        <w:rPr>
          <w:i/>
        </w:rPr>
        <w:t>P</w:t>
      </w:r>
      <w:r>
        <w:t>low). This has the benefit of using the largest proportion with the smallest associated error.</w:t>
      </w:r>
    </w:p>
    <w:p w14:paraId="72A51078" w14:textId="77777777" w:rsidR="002147C6" w:rsidRDefault="00001178" w:rsidP="0098750C">
      <w:pPr>
        <w:pStyle w:val="BodyText"/>
        <w:spacing w:line="480" w:lineRule="auto"/>
      </w:pPr>
      <w:r>
        <w:lastRenderedPageBreak/>
        <w:t>In 2012 (the first year for which data is readily available online), the proportion of distressed peopl</w:t>
      </w:r>
      <w:r>
        <w:t>e, i.e., those reporting some level of distress greater than “low”, was estimated at 29.9 (±0.8) percent, but this increased to 39.2 (±1.1) percent by 2018, a difference of over 9 percent and well outside the 95% confidence limits. The proportion of distre</w:t>
      </w:r>
      <w:r>
        <w:t>ssed young people has also increased from 38.1 (±2.6) percent in 2012 to 50.9 (±3.8) percent in 2018, a difference of 12.8 percent which is also well outside the 95% confidence limits.</w:t>
      </w:r>
    </w:p>
    <w:p w14:paraId="4175B937" w14:textId="77777777" w:rsidR="002147C6" w:rsidRDefault="002147C6" w:rsidP="0098750C">
      <w:pPr>
        <w:pStyle w:val="BodyText"/>
        <w:spacing w:line="480" w:lineRule="auto"/>
      </w:pPr>
    </w:p>
    <w:p w14:paraId="5C4F42ED" w14:textId="77777777" w:rsidR="002147C6" w:rsidRDefault="00001178" w:rsidP="0098750C">
      <w:pPr>
        <w:pStyle w:val="BodyText"/>
        <w:spacing w:line="480" w:lineRule="auto"/>
      </w:pPr>
      <w:r>
        <w:rPr>
          <w:noProof/>
        </w:rPr>
        <w:drawing>
          <wp:inline distT="0" distB="0" distL="0" distR="0" wp14:anchorId="1D2A62EC" wp14:editId="7E21BEFD">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s/plot_distress-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7C77708" w14:textId="77777777" w:rsidR="002147C6" w:rsidRDefault="002147C6" w:rsidP="0098750C">
      <w:pPr>
        <w:pStyle w:val="BodyText"/>
        <w:spacing w:line="480" w:lineRule="auto"/>
      </w:pPr>
    </w:p>
    <w:p w14:paraId="6A2E4E30" w14:textId="77777777" w:rsidR="002147C6" w:rsidRDefault="00001178" w:rsidP="0098750C">
      <w:pPr>
        <w:pStyle w:val="BodyText"/>
        <w:spacing w:line="480" w:lineRule="auto"/>
      </w:pPr>
      <w:r>
        <w:lastRenderedPageBreak/>
        <w:t>Thus distress levels have increased rapidly in Australia in the rec</w:t>
      </w:r>
      <w:r>
        <w:t>ent years for which data is available, in young people as well as across the population as a whole.</w:t>
      </w:r>
    </w:p>
    <w:p w14:paraId="0D7A70F1" w14:textId="77777777" w:rsidR="002147C6" w:rsidRDefault="002147C6" w:rsidP="0098750C">
      <w:pPr>
        <w:pStyle w:val="BodyText"/>
        <w:spacing w:line="480" w:lineRule="auto"/>
      </w:pPr>
    </w:p>
    <w:p w14:paraId="2D4B7770" w14:textId="77777777" w:rsidR="002147C6" w:rsidRDefault="00001178" w:rsidP="0098750C">
      <w:pPr>
        <w:pStyle w:val="BodyText"/>
        <w:spacing w:line="480" w:lineRule="auto"/>
      </w:pPr>
      <w:r>
        <w:rPr>
          <w:b/>
        </w:rPr>
        <w:t>Recent trends in suicide rates have been relatively steady</w:t>
      </w:r>
      <w:r>
        <w:t>. Since 2012, the overall suicide rate has increased from 11.2 (10.8-11.7 95% CI) to 12.1 (11.6-1</w:t>
      </w:r>
      <w:r>
        <w:t xml:space="preserve">2.5 95% CI) deaths per 100,000 in the population in 2018. This represents a difference of almost 1 percent however the 95% bounds provided by the ABS overlap, indicating any increase may be insubstantial. The suicide rate for young people (aged 18-24) has </w:t>
      </w:r>
      <w:r>
        <w:t>increased from 5.9 to 7.6 in 2018 (no confidence intervals are provided for this smaller subset), a difference of 1.7 percent.</w:t>
      </w:r>
    </w:p>
    <w:p w14:paraId="4331CBC5" w14:textId="77777777" w:rsidR="002147C6" w:rsidRDefault="00001178" w:rsidP="0098750C">
      <w:pPr>
        <w:pStyle w:val="BodyText"/>
        <w:spacing w:line="480" w:lineRule="auto"/>
      </w:pPr>
      <w:r>
        <w:rPr>
          <w:noProof/>
        </w:rPr>
        <w:drawing>
          <wp:inline distT="0" distB="0" distL="0" distR="0" wp14:anchorId="6FA8E625" wp14:editId="3D920B8F">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ults/plot_suicides-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863145D" w14:textId="77777777" w:rsidR="002147C6" w:rsidRDefault="002147C6" w:rsidP="0098750C">
      <w:pPr>
        <w:pStyle w:val="BodyText"/>
        <w:spacing w:line="480" w:lineRule="auto"/>
      </w:pPr>
    </w:p>
    <w:p w14:paraId="3C111EC9" w14:textId="77777777" w:rsidR="002147C6" w:rsidRDefault="00001178" w:rsidP="0098750C">
      <w:pPr>
        <w:pStyle w:val="BodyText"/>
        <w:spacing w:line="480" w:lineRule="auto"/>
      </w:pPr>
      <w:r>
        <w:t>Overall, an increase in suicide over this period is hard to detect. Among total suicides, where as many as 3,046 suicides were</w:t>
      </w:r>
      <w:r>
        <w:t xml:space="preserve"> recorded in 2018, no statistically significant increase is apparent. Some increase is apparent in the 18-24 age group, however the numbers in this subgroup represent approximately a tenth of the total (</w:t>
      </w:r>
      <w:r>
        <w:rPr>
          <w:i/>
        </w:rPr>
        <w:t>n</w:t>
      </w:r>
      <w:r>
        <w:t xml:space="preserve"> = 358), making reliable inference more difficult. T</w:t>
      </w:r>
      <w:r>
        <w:t>his contrasts with the clear increase in psychological distress in the community in recent years noted above. It seems likely that other factors, such as economic conditions, access to means etc are likely to play a larger role in the trend in suicide rate</w:t>
      </w:r>
      <w:r>
        <w:t>s in the last ten years than the general distress levels in the community.</w:t>
      </w:r>
    </w:p>
    <w:p w14:paraId="77D6C72E" w14:textId="77777777" w:rsidR="002147C6" w:rsidRDefault="002147C6" w:rsidP="0098750C">
      <w:pPr>
        <w:pStyle w:val="BodyText"/>
        <w:spacing w:line="480" w:lineRule="auto"/>
      </w:pPr>
    </w:p>
    <w:p w14:paraId="05A41877" w14:textId="77777777" w:rsidR="002147C6" w:rsidRDefault="00001178" w:rsidP="0098750C">
      <w:pPr>
        <w:pStyle w:val="BodyText"/>
        <w:spacing w:line="480" w:lineRule="auto"/>
      </w:pPr>
      <w:r>
        <w:rPr>
          <w:b/>
        </w:rPr>
        <w:t>A Victorian case-study</w:t>
      </w:r>
      <w:r>
        <w:t>. Victoria, along with the rest of Australia, successfully reduced COVID-19 cases to negligible levels by early June (as few as 3 new cases a day according to</w:t>
      </w:r>
      <w:r>
        <w:t xml:space="preserve"> the 7-day trailing average, www.covid19live.com.au). However a second wave forced the State government to shut borders and reintroduce severe lockdown restrictions across Melbourne and surrounding regions in early July (July 7th). A state-of-disaster was </w:t>
      </w:r>
      <w:r>
        <w:t>declared on August 2nd with increased restrictions for at least six weeks. This makes Victoria a good case-study to examine the early impact of lockdown on community distress levels and suicide, relative to its historic trend or contemporaneous trends in o</w:t>
      </w:r>
      <w:r>
        <w:t>ther states (QLD data may be available in a week).</w:t>
      </w:r>
    </w:p>
    <w:p w14:paraId="034B3E50" w14:textId="77777777" w:rsidR="002147C6" w:rsidRDefault="002147C6" w:rsidP="0098750C">
      <w:pPr>
        <w:pStyle w:val="BodyText"/>
        <w:spacing w:line="480" w:lineRule="auto"/>
      </w:pPr>
    </w:p>
    <w:p w14:paraId="78A23590" w14:textId="77777777" w:rsidR="002147C6" w:rsidRDefault="00001178" w:rsidP="0098750C">
      <w:pPr>
        <w:pStyle w:val="BodyText"/>
        <w:spacing w:line="480" w:lineRule="auto"/>
      </w:pPr>
      <w:r>
        <w:rPr>
          <w:b/>
        </w:rPr>
        <w:lastRenderedPageBreak/>
        <w:t>The Facebook COVID-19 symptom data</w:t>
      </w:r>
      <w:r>
        <w:t>. In partnership with University of Maryland (and Carnegie Mellon University), global Facebook users, including Australian users, were invited to take off-platform survey</w:t>
      </w:r>
      <w:r>
        <w:t xml:space="preserve">s to self-report COVID-19-related symptoms, and the data were made available as part of the </w:t>
      </w:r>
      <w:hyperlink r:id="rId12">
        <w:r>
          <w:rPr>
            <w:rStyle w:val="Hyperlink"/>
          </w:rPr>
          <w:t>The COVID-19 Symptom Data Challenge</w:t>
        </w:r>
      </w:hyperlink>
      <w:r>
        <w:t xml:space="preserve">. Every day, a new representative sample of Facebook users over 18 years old </w:t>
      </w:r>
      <w:r>
        <w:t>was invited to consent and participate. Sampled users received the invitation at the top of their News Feed and the surveys were conducted off the Facebook app by the academic partner. Participants reported on COVID-19 symptoms, social distancing behavior,</w:t>
      </w:r>
      <w:r>
        <w:t xml:space="preserve"> financial constraints, and psychological distress. (</w:t>
      </w:r>
      <w:hyperlink r:id="rId13">
        <w:r>
          <w:rPr>
            <w:rStyle w:val="Hyperlink"/>
          </w:rPr>
          <w:t>https://ojs.ub.uni-konstanz.de/srm/article/view/7761</w:t>
        </w:r>
      </w:hyperlink>
      <w:r>
        <w:t>)</w:t>
      </w:r>
    </w:p>
    <w:p w14:paraId="01EDBF7E" w14:textId="77777777" w:rsidR="002147C6" w:rsidRDefault="00001178" w:rsidP="0098750C">
      <w:pPr>
        <w:pStyle w:val="BodyText"/>
        <w:spacing w:line="480" w:lineRule="auto"/>
      </w:pPr>
      <w:r>
        <w:t>Indicators for nervousness, depression, and anxiety, adapted from the K10 sca</w:t>
      </w:r>
      <w:r>
        <w:t>le (Kessler et al. 2003), were collected as part of the survey. The survey data is provided in granular but aggregate form (i.e., no response-level or person-specific data). Facebook provided regionally-specific weights to reduce nonresponse and coverage b</w:t>
      </w:r>
      <w:r>
        <w:t xml:space="preserve">ias in age and gender. The total number of responses in the sample used here (Victoria, Australia) was </w:t>
      </w:r>
      <w:r>
        <w:rPr>
          <w:i/>
        </w:rPr>
        <w:t>N</w:t>
      </w:r>
      <w:r>
        <w:t xml:space="preserve"> = 70,607.</w:t>
      </w:r>
    </w:p>
    <w:p w14:paraId="18D7F7A7" w14:textId="77777777" w:rsidR="002147C6" w:rsidRDefault="002147C6" w:rsidP="0098750C">
      <w:pPr>
        <w:pStyle w:val="BodyText"/>
        <w:spacing w:line="480" w:lineRule="auto"/>
      </w:pPr>
    </w:p>
    <w:p w14:paraId="304481F6" w14:textId="77777777" w:rsidR="002147C6" w:rsidRDefault="00001178" w:rsidP="0098750C">
      <w:pPr>
        <w:pStyle w:val="BodyText"/>
        <w:spacing w:line="480" w:lineRule="auto"/>
      </w:pPr>
      <w:r>
        <w:rPr>
          <w:b/>
        </w:rPr>
        <w:t>Victorian Suicide Data</w:t>
      </w:r>
      <w:r>
        <w:t xml:space="preserve">. Monthly suicide data was provided by the </w:t>
      </w:r>
      <w:hyperlink r:id="rId14">
        <w:r>
          <w:rPr>
            <w:rStyle w:val="Hyperlink"/>
          </w:rPr>
          <w:t>Victorian Coroner’s Court Monthly Suicide data report</w:t>
        </w:r>
      </w:hyperlink>
      <w:r>
        <w:t xml:space="preserve"> summarising the number of suicides per month between January to September 2020, published on October 5th.</w:t>
      </w:r>
    </w:p>
    <w:p w14:paraId="4F3A7F00" w14:textId="77777777" w:rsidR="002147C6" w:rsidRDefault="002147C6" w:rsidP="0098750C">
      <w:pPr>
        <w:pStyle w:val="BodyText"/>
        <w:spacing w:line="480" w:lineRule="auto"/>
      </w:pPr>
    </w:p>
    <w:p w14:paraId="12270B87" w14:textId="77777777" w:rsidR="002147C6" w:rsidRDefault="00001178" w:rsidP="0098750C">
      <w:pPr>
        <w:pStyle w:val="BodyText"/>
        <w:spacing w:line="480" w:lineRule="auto"/>
      </w:pPr>
      <w:r>
        <w:rPr>
          <w:b/>
        </w:rPr>
        <w:lastRenderedPageBreak/>
        <w:t>Suicide in Victoria did not change with the proportion of people reporting depression in 2020</w:t>
      </w:r>
      <w:r>
        <w:t xml:space="preserve">. The monthly tally of suicides in Victoria shows a slightly declining trend over the time period, from </w:t>
      </w:r>
      <w:r>
        <w:rPr>
          <w:i/>
        </w:rPr>
        <w:t>n</w:t>
      </w:r>
      <w:r>
        <w:t xml:space="preserve"> = 63 in January to </w:t>
      </w:r>
      <w:r>
        <w:rPr>
          <w:i/>
        </w:rPr>
        <w:t>n</w:t>
      </w:r>
      <w:r>
        <w:t xml:space="preserve"> = 49 in September. By contrast, the </w:t>
      </w:r>
      <w:r>
        <w:t>proportion of people reporting depression increased from 43.2 percent in May to 53.6 percent in September (blue), an increase of over ten percent.</w:t>
      </w:r>
    </w:p>
    <w:p w14:paraId="7EF1FC6D" w14:textId="77777777" w:rsidR="002147C6" w:rsidRDefault="00001178" w:rsidP="0098750C">
      <w:pPr>
        <w:pStyle w:val="BodyText"/>
        <w:spacing w:line="480" w:lineRule="auto"/>
      </w:pPr>
      <w:r>
        <w:rPr>
          <w:noProof/>
        </w:rPr>
        <w:drawing>
          <wp:inline distT="0" distB="0" distL="0" distR="0" wp14:anchorId="26D23901" wp14:editId="69E19CD9">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ults/suicide_2-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246DDF41" w14:textId="77777777" w:rsidR="002147C6" w:rsidRDefault="002147C6" w:rsidP="0098750C">
      <w:pPr>
        <w:pStyle w:val="BodyText"/>
        <w:spacing w:line="480" w:lineRule="auto"/>
      </w:pPr>
    </w:p>
    <w:p w14:paraId="261A8B9E" w14:textId="77777777" w:rsidR="002147C6" w:rsidRDefault="00001178" w:rsidP="0098750C">
      <w:pPr>
        <w:pStyle w:val="BodyText"/>
        <w:spacing w:line="480" w:lineRule="auto"/>
      </w:pPr>
      <w:r>
        <w:t>Thus the estimated proportion of reported depression in Victoria increased, while we did not observe conco</w:t>
      </w:r>
      <w:r>
        <w:t>mitant increases in the incidence of suicide. Instead, suicide tended to diverge from depression over the lockdown period.</w:t>
      </w:r>
    </w:p>
    <w:p w14:paraId="636AFF6B" w14:textId="77777777" w:rsidR="002147C6" w:rsidRDefault="00001178" w:rsidP="0098750C">
      <w:pPr>
        <w:pStyle w:val="BodyText"/>
        <w:spacing w:line="480" w:lineRule="auto"/>
      </w:pPr>
      <w:r>
        <w:rPr>
          <w:b/>
        </w:rPr>
        <w:lastRenderedPageBreak/>
        <w:t>Conclusions</w:t>
      </w:r>
      <w:r>
        <w:t>. The dissonance between the decline in mental health and the incidence of suicide, particularly notable for a lack in you</w:t>
      </w:r>
      <w:r>
        <w:t>ng people where massive rises have been predicted, has several possible, and not necessarily mutually exclusive, explanations and inferences:</w:t>
      </w:r>
    </w:p>
    <w:p w14:paraId="1AD58F9A" w14:textId="77777777" w:rsidR="002147C6" w:rsidRDefault="00001178" w:rsidP="0098750C">
      <w:pPr>
        <w:pStyle w:val="Compact"/>
        <w:numPr>
          <w:ilvl w:val="0"/>
          <w:numId w:val="3"/>
        </w:numPr>
        <w:spacing w:line="480" w:lineRule="auto"/>
      </w:pPr>
      <w:r>
        <w:t>Suicide rates are a poor indicator of the community’s mental health, an inference supported by the observation tha</w:t>
      </w:r>
      <w:r>
        <w:t>t rising rates of mental distress in young people in Australia over the past few years have not been matched by increases in the suicide rate</w:t>
      </w:r>
    </w:p>
    <w:p w14:paraId="0DF2D7B9" w14:textId="77777777" w:rsidR="002147C6" w:rsidRDefault="00001178" w:rsidP="0098750C">
      <w:pPr>
        <w:pStyle w:val="Compact"/>
        <w:numPr>
          <w:ilvl w:val="0"/>
          <w:numId w:val="3"/>
        </w:numPr>
        <w:spacing w:line="480" w:lineRule="auto"/>
      </w:pPr>
      <w:r>
        <w:t>Suicides result from a complex interplay with many very proximal factors including access and substance use. Count</w:t>
      </w:r>
      <w:r>
        <w:t>erintuitively the lockdown in Victoria may have reduced access to these and we may see a post lockdown increase in the suicide rate</w:t>
      </w:r>
    </w:p>
    <w:p w14:paraId="384A8057" w14:textId="77777777" w:rsidR="002147C6" w:rsidRDefault="00001178" w:rsidP="0098750C">
      <w:pPr>
        <w:pStyle w:val="Compact"/>
        <w:numPr>
          <w:ilvl w:val="0"/>
          <w:numId w:val="3"/>
        </w:numPr>
        <w:spacing w:line="480" w:lineRule="auto"/>
      </w:pPr>
      <w:r>
        <w:t>The huge uncertainty in predicting rare events has not been reflected in the modelling, some of which assumes a change in me</w:t>
      </w:r>
      <w:r>
        <w:t>ntal health as the mediating pathway, and results in high predictions. The total excess suicide deaths across 53 countries (accounting for 78 percent of Europe’s population, and 88 percent of the population in the Americas - nearly a billion people) was 48</w:t>
      </w:r>
      <w:r>
        <w:t>84 (95% confidence interval 3907 to 5860) in the year after the GFC. Predictions of a median excess number of suicides of c.1500 per year in Australia with a population of just 24 million seems comparatively excessive but only time will tell.</w:t>
      </w:r>
    </w:p>
    <w:sectPr w:rsidR="002147C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46E04" w14:textId="77777777" w:rsidR="00001178" w:rsidRDefault="00001178">
      <w:pPr>
        <w:spacing w:after="0"/>
      </w:pPr>
      <w:r>
        <w:separator/>
      </w:r>
    </w:p>
  </w:endnote>
  <w:endnote w:type="continuationSeparator" w:id="0">
    <w:p w14:paraId="75439FCC" w14:textId="77777777" w:rsidR="00001178" w:rsidRDefault="000011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B6EBF" w14:textId="77777777" w:rsidR="00001178" w:rsidRDefault="00001178">
      <w:r>
        <w:separator/>
      </w:r>
    </w:p>
  </w:footnote>
  <w:footnote w:type="continuationSeparator" w:id="0">
    <w:p w14:paraId="3ED4F1BC" w14:textId="77777777" w:rsidR="00001178" w:rsidRDefault="000011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0CA87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A732AE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8544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1178"/>
    <w:rsid w:val="00011C8B"/>
    <w:rsid w:val="002147C6"/>
    <w:rsid w:val="004E29B3"/>
    <w:rsid w:val="00590D07"/>
    <w:rsid w:val="00784D58"/>
    <w:rsid w:val="008D6863"/>
    <w:rsid w:val="0098750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823C1"/>
  <w15:docId w15:val="{7AE5F59E-3B7C-8E48-ACEF-52038F559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hw.gov.au/suicide-self-harm-monitoring/data/deaths-by-suicide-in-australia/suicide-deaths-over-time" TargetMode="External"/><Relationship Id="rId13" Type="http://schemas.openxmlformats.org/officeDocument/2006/relationships/hyperlink" Target="https://ojs.ub.uni-konstanz.de/srm/article/view/7761" TargetMode="External"/><Relationship Id="rId3" Type="http://schemas.openxmlformats.org/officeDocument/2006/relationships/settings" Target="settings.xml"/><Relationship Id="rId7" Type="http://schemas.openxmlformats.org/officeDocument/2006/relationships/hyperlink" Target="https://insightplus.mja.com.au/2020/29/covid-19-and-suicide-variation-and-response/" TargetMode="External"/><Relationship Id="rId12" Type="http://schemas.openxmlformats.org/officeDocument/2006/relationships/hyperlink" Target="https://www.symptomchallenge.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mhocn.org/sites/default/files/publication_files/kessler_10_manual.pdf" TargetMode="External"/><Relationship Id="rId14" Type="http://schemas.openxmlformats.org/officeDocument/2006/relationships/hyperlink" Target="https://www.coronerscourt.vic.gov.au/sites/default/files/2020-10/Coroners%20Court%20Suicide%20Data%20Report%20-%20Report%202%20-%200510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1551</Words>
  <Characters>8844</Characters>
  <Application>Microsoft Office Word</Application>
  <DocSecurity>0</DocSecurity>
  <Lines>73</Lines>
  <Paragraphs>20</Paragraphs>
  <ScaleCrop>false</ScaleCrop>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Enough rope</dc:title>
  <dc:creator/>
  <cp:keywords/>
  <cp:lastModifiedBy>Richard Morris</cp:lastModifiedBy>
  <cp:revision>2</cp:revision>
  <dcterms:created xsi:type="dcterms:W3CDTF">2020-10-26T12:36:00Z</dcterms:created>
  <dcterms:modified xsi:type="dcterms:W3CDTF">2020-10-26T12:41:00Z</dcterms:modified>
</cp:coreProperties>
</file>