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6sdg9p8ozhix" w:id="0"/>
      <w:bookmarkEnd w:id="0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ajylc94gdoxi" w:id="1"/>
      <w:bookmarkEnd w:id="1"/>
      <w:r w:rsidDel="00000000" w:rsidR="00000000" w:rsidRPr="00000000">
        <w:rPr>
          <w:rtl w:val="0"/>
        </w:rPr>
        <w:t xml:space="preserve">Applying the Concepts: StatCrunch Instructions</w:t>
      </w:r>
    </w:p>
    <w:p w:rsidR="00000000" w:rsidDel="00000000" w:rsidP="00000000" w:rsidRDefault="00000000" w:rsidRPr="00000000" w14:paraId="00000003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g2n2or7r3pv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 the Probability of an Event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a blank data sheet.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Data → Simulate Data → Binomial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Number of rows and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s: type 1000 for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Rows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1 for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Binomial parameters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type 100 for n and .1667 for p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Seeding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“Use fixed seed”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777 in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the header of the new column of data: Heads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Graph → Histogram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Column: Heads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Compute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 → Summary Stats → Columns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Column(s): Heads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“Where” box enter: 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Heads = 29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Statistics → 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1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uf4vg4t7zh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Statistical 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7hrv0s6fl8jl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a Hypothesis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school.csv dataset in StatCrunch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Compute → Expression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expression box, enter: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count(AvgCourseDifficulty)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“countAvgCourseDifficulty” as the Column label.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Compute → From Column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 → “AvgCourseDifficulty”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“Where:” box enter: 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AvgCourseDifficulty &lt;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“AvgCourseDifficultyLessThan2” as the Column label.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Data → Compute → Expression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expression box, enter: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count(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AvgCourseDifficultyLessThan2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“CountAvgCourseDifficultyLessThan2” as the Column label.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the value under CountAvgCourseDifficultyLessThan2 by the value under countAvgCourseDifficulty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 is not available in StatCrunch.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7f6ssa2wpch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T-tests on Observational Data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volleyball.csv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 StatCrunch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Stat → T Stats→ One Sample → With Data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hit_perc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Hypothesis test for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enter: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30 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“&gt;”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vonnfcqbotr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Conclusions from a Correlation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icecream1.csv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 StatCrunch.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</w:t>
      </w: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 Stat → Summary Stats → Correlation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ice_cream_sales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number_drownings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icecream2.csv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 StatCrunch.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Stat → Summary Stats → Correlation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ice_cream_sales, number_drownings,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Calculating the SBI p-value for a correlation is not currently available in StatCrunch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md04q0lhdmej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 Conclusions from Observational Studies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school.csv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 StatCrunch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Stat → T Stats → One Sample → With Data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Select columns → DailyFruitVeg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“Hypothesis test for </w:t>
      </w:r>
      <w:r w:rsidDel="00000000" w:rsidR="00000000" w:rsidRPr="00000000">
        <w:rPr>
          <w:sz w:val="21"/>
          <w:szCs w:val="21"/>
          <w:rtl w:val="0"/>
        </w:rPr>
        <w:t xml:space="preserve">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select: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2.21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“&lt;”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Compute!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right="120"/>
        <w:rPr>
          <w:rFonts w:ascii="Times New Roman" w:cs="Times New Roman" w:eastAsia="Times New Roman" w:hAnsi="Times New Roman"/>
        </w:rPr>
      </w:pPr>
      <w:bookmarkStart w:colFirst="0" w:colLast="0" w:name="_3nstaqmfaibx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Type I and Type II Errors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9in1vgnvpiit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an A/B Test’s Null and Alternative Hypotheses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6mokqyccruo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 T-tests on A/B Testing Data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portfolio_2col.csv data in StatCrunch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sz w:val="21"/>
          <w:szCs w:val="21"/>
          <w:rtl w:val="0"/>
        </w:rPr>
        <w:t xml:space="preserve">Stat → T Stats → Two Sample → With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1 Values in → A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Sample 2 Values in → B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Optional graphs and tables → Summary statistics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Compute!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360" w:lineRule="auto"/>
        <w:ind w:left="0" w:right="120" w:firstLine="0"/>
        <w:rPr>
          <w:rFonts w:ascii="Times New Roman" w:cs="Times New Roman" w:eastAsia="Times New Roman" w:hAnsi="Times New Roman"/>
        </w:rPr>
      </w:pPr>
      <w:bookmarkStart w:colFirst="0" w:colLast="0" w:name="_nqa76ruy0b7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Type I and Type II Errors in A/B Testing Results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tools are used in this activity.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