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n5yc6dw5o3vi" w:id="0"/>
      <w:bookmarkEnd w:id="0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84rsmoq07vhs" w:id="1"/>
      <w:bookmarkEnd w:id="1"/>
      <w:r w:rsidDel="00000000" w:rsidR="00000000" w:rsidRPr="00000000">
        <w:rPr>
          <w:rtl w:val="0"/>
        </w:rPr>
        <w:t xml:space="preserve">Applying the Concepts: StatCrunch Instructions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x4p7l931kvgp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Artificial Intelligence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f4u1s9act52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Data Ingestion, Data Analysis, and Actions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rbwg3ee5pp9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 a Decision Tree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469j61pro3o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Regression vs. Classification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fsqmzidveras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Inference vs. Prediction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pb2absw8ae2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Interpretability vs. Complexity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xdxpr4jf4tu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Accuracy, Precision, Recall, and Specificity Using a Confusion Matrix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6leowfr4bsty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Overfitted, Underfitted, and Well-Fitted Models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