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4C" w:rsidRDefault="005B1D3C">
      <w:r>
        <w:t>Clustering Chapter</w:t>
      </w:r>
    </w:p>
    <w:p w:rsidR="005B1D3C" w:rsidRDefault="005B1D3C"/>
    <w:p w:rsidR="00633F32" w:rsidRDefault="00633F32" w:rsidP="00633F32">
      <w:r>
        <w:t xml:space="preserve">When to use </w:t>
      </w:r>
      <w:proofErr w:type="spellStart"/>
      <w:r>
        <w:t>kmeans</w:t>
      </w:r>
      <w:proofErr w:type="spellEnd"/>
      <w:r>
        <w:t xml:space="preserve"> versus hierarchical</w:t>
      </w:r>
    </w:p>
    <w:p w:rsidR="00DF1BE3" w:rsidRDefault="00A3316D" w:rsidP="00633F32">
      <w:r>
        <w:t xml:space="preserve"> </w:t>
      </w:r>
    </w:p>
    <w:p w:rsidR="00A5029A" w:rsidRDefault="00633F32" w:rsidP="00633F32">
      <w:pPr>
        <w:pStyle w:val="ListParagraph"/>
        <w:numPr>
          <w:ilvl w:val="0"/>
          <w:numId w:val="2"/>
        </w:numPr>
      </w:pPr>
      <w:proofErr w:type="spellStart"/>
      <w:r>
        <w:t>Kmeans</w:t>
      </w:r>
      <w:proofErr w:type="spellEnd"/>
      <w:r>
        <w:t xml:space="preserve"> is relatively quick to converge, but does not preserve the underlying relationships between points and the clusters may be unstable due to the random initialization. </w:t>
      </w:r>
      <w:bookmarkStart w:id="0" w:name="_GoBack"/>
      <w:bookmarkEnd w:id="0"/>
    </w:p>
    <w:p w:rsidR="00B6203A" w:rsidRDefault="00633F32" w:rsidP="00633F32">
      <w:pPr>
        <w:pStyle w:val="ListParagraph"/>
        <w:numPr>
          <w:ilvl w:val="0"/>
          <w:numId w:val="2"/>
        </w:numPr>
      </w:pPr>
      <w:r>
        <w:t>Hierarchical clustering is quite flexible in its assumptions, captures rich interlinkages between each point and cluster, and can be reproduced without error.</w:t>
      </w:r>
      <w:r w:rsidR="00B6203A">
        <w:t xml:space="preserve"> The challenge with hierarchical clustering is that it is computationally costly – depending on the linkage method, the number of calculations required are compounded with sample size. Thus, hierarchical clustering is </w:t>
      </w:r>
      <w:r w:rsidR="00290E7C">
        <w:t>generally suitable for smaller samples.</w:t>
      </w:r>
    </w:p>
    <w:p w:rsidR="00633F32" w:rsidRDefault="00B6203A" w:rsidP="00633F32">
      <w:pPr>
        <w:pStyle w:val="ListParagraph"/>
        <w:numPr>
          <w:ilvl w:val="0"/>
          <w:numId w:val="2"/>
        </w:numPr>
      </w:pPr>
      <w:r>
        <w:t>In computer science, *big O* notation is used to describe the processing time or memory requirements of a function.</w:t>
      </w:r>
    </w:p>
    <w:p w:rsidR="00F73CD9" w:rsidRDefault="00F73CD9" w:rsidP="00DD5559">
      <w:pPr>
        <w:pBdr>
          <w:bottom w:val="double" w:sz="6" w:space="1" w:color="auto"/>
        </w:pBdr>
      </w:pPr>
    </w:p>
    <w:p w:rsidR="004A72F7" w:rsidRDefault="004A72F7" w:rsidP="00DD5559">
      <w:r>
        <w:t>Hierarchical clustering</w:t>
      </w:r>
    </w:p>
    <w:p w:rsidR="004A72F7" w:rsidRDefault="004A72F7" w:rsidP="00DD5559"/>
    <w:p w:rsidR="00E76299" w:rsidRDefault="00E76299" w:rsidP="00E76299">
      <w:pPr>
        <w:pStyle w:val="ListParagraph"/>
        <w:numPr>
          <w:ilvl w:val="0"/>
          <w:numId w:val="1"/>
        </w:numPr>
      </w:pPr>
      <w:r>
        <w:t xml:space="preserve">Another clustering technique that captures how each observation is related to all others in a tree-like structure. Unlike k-means, hierarchical clustering provides context of the interrelationships amongst observations with a greater degree of flexibility, but with the tradeoff of  large time costs. </w:t>
      </w:r>
    </w:p>
    <w:p w:rsidR="004A72F7" w:rsidRDefault="004A72F7" w:rsidP="004A72F7">
      <w:pPr>
        <w:pStyle w:val="ListParagraph"/>
        <w:numPr>
          <w:ilvl w:val="0"/>
          <w:numId w:val="1"/>
        </w:numPr>
      </w:pPr>
      <w:r>
        <w:t xml:space="preserve">Two types: </w:t>
      </w:r>
      <w:r w:rsidR="00E76299">
        <w:t xml:space="preserve">agglomerative and divisive. </w:t>
      </w:r>
    </w:p>
    <w:p w:rsidR="00E76299" w:rsidRDefault="00E76299" w:rsidP="00E76299">
      <w:pPr>
        <w:pStyle w:val="ListParagraph"/>
        <w:numPr>
          <w:ilvl w:val="1"/>
          <w:numId w:val="1"/>
        </w:numPr>
      </w:pPr>
      <w:r>
        <w:t xml:space="preserve">Agglomerative </w:t>
      </w:r>
    </w:p>
    <w:p w:rsidR="00E76299" w:rsidRDefault="00E76299" w:rsidP="00E76299">
      <w:pPr>
        <w:pStyle w:val="ListParagraph"/>
        <w:numPr>
          <w:ilvl w:val="1"/>
          <w:numId w:val="1"/>
        </w:numPr>
      </w:pPr>
      <w:r>
        <w:t>Divisive</w:t>
      </w:r>
    </w:p>
    <w:p w:rsidR="00E76299" w:rsidRDefault="00920864" w:rsidP="00E76299">
      <w:pPr>
        <w:pStyle w:val="ListParagraph"/>
        <w:numPr>
          <w:ilvl w:val="0"/>
          <w:numId w:val="1"/>
        </w:numPr>
      </w:pPr>
      <w:r>
        <w:t>Describe how it works</w:t>
      </w:r>
    </w:p>
    <w:p w:rsidR="00920864" w:rsidRDefault="00920864" w:rsidP="00920864">
      <w:pPr>
        <w:pStyle w:val="ListParagraph"/>
        <w:numPr>
          <w:ilvl w:val="1"/>
          <w:numId w:val="1"/>
        </w:numPr>
      </w:pPr>
      <w:r>
        <w:t>Clustering pseudo code</w:t>
      </w:r>
    </w:p>
    <w:p w:rsidR="00920864" w:rsidRDefault="00920864" w:rsidP="00920864">
      <w:pPr>
        <w:pStyle w:val="ListParagraph"/>
        <w:numPr>
          <w:ilvl w:val="1"/>
          <w:numId w:val="1"/>
        </w:numPr>
      </w:pPr>
      <w:r>
        <w:t>Distances</w:t>
      </w:r>
    </w:p>
    <w:p w:rsidR="00920864" w:rsidRDefault="00920864" w:rsidP="00E76299">
      <w:pPr>
        <w:pStyle w:val="ListParagraph"/>
        <w:numPr>
          <w:ilvl w:val="0"/>
          <w:numId w:val="1"/>
        </w:numPr>
      </w:pPr>
      <w:r>
        <w:t>When to apply</w:t>
      </w:r>
    </w:p>
    <w:p w:rsidR="00633F32" w:rsidRDefault="00633F32" w:rsidP="00633F32"/>
    <w:p w:rsidR="00633F32" w:rsidRDefault="00633F32" w:rsidP="00633F32"/>
    <w:tbl>
      <w:tblPr>
        <w:tblW w:w="10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5"/>
        <w:gridCol w:w="3246"/>
        <w:gridCol w:w="4729"/>
      </w:tblGrid>
      <w:tr w:rsidR="00633F32" w:rsidRPr="00633F32" w:rsidTr="00633F32">
        <w:trPr>
          <w:trHeight w:val="435"/>
        </w:trPr>
        <w:tc>
          <w:tcPr>
            <w:tcW w:w="27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00B0F0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Linkage distance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00B0F0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Formula</w:t>
            </w:r>
          </w:p>
        </w:tc>
        <w:tc>
          <w:tcPr>
            <w:tcW w:w="4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00B0F0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Choose clusters based on:</w:t>
            </w:r>
          </w:p>
        </w:tc>
      </w:tr>
      <w:tr w:rsidR="00633F32" w:rsidRPr="00633F32" w:rsidTr="00633F32">
        <w:trPr>
          <w:trHeight w:val="964"/>
        </w:trPr>
        <w:tc>
          <w:tcPr>
            <w:tcW w:w="27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Single Linkage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r>
                  <w:rPr>
                    <w:rFonts w:ascii="Cambria Math" w:hAnsi="Cambria Math"/>
                  </w:rPr>
                  <m:t>⁡(d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distance between the two closest points in two clusters</w:t>
            </w:r>
          </w:p>
        </w:tc>
      </w:tr>
      <w:tr w:rsidR="00633F32" w:rsidRPr="00633F32" w:rsidTr="00633F32">
        <w:trPr>
          <w:trHeight w:val="1032"/>
        </w:trPr>
        <w:tc>
          <w:tcPr>
            <w:tcW w:w="27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Complete Linkage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ax⁡(d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Distance between the two farthest points in two clusters</w:t>
            </w:r>
          </w:p>
        </w:tc>
      </w:tr>
      <w:tr w:rsidR="00633F32" w:rsidRPr="00633F32" w:rsidTr="00633F32">
        <w:trPr>
          <w:trHeight w:val="1389"/>
        </w:trPr>
        <w:tc>
          <w:tcPr>
            <w:tcW w:w="27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Average Linkage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m:oMathPara>
              <m:oMathParaPr>
                <m:jc m:val="centerGroup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lang w:val="is-I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lang w:val="is-I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4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Average distance between all points</w:t>
            </w:r>
          </w:p>
        </w:tc>
      </w:tr>
      <w:tr w:rsidR="00633F32" w:rsidRPr="00633F32" w:rsidTr="00633F32">
        <w:trPr>
          <w:trHeight w:val="1611"/>
        </w:trPr>
        <w:tc>
          <w:tcPr>
            <w:tcW w:w="27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lastRenderedPageBreak/>
              <w:t>Centroid Distance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ax⁡(d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 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Distance between cluster centroids</w:t>
            </w:r>
          </w:p>
        </w:tc>
      </w:tr>
      <w:tr w:rsidR="00633F32" w:rsidRPr="00633F32" w:rsidTr="00633F32">
        <w:trPr>
          <w:trHeight w:val="1611"/>
        </w:trPr>
        <w:tc>
          <w:tcPr>
            <w:tcW w:w="27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Ward’s Distance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bg-BG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bg-BG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bg-BG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bg-BG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bg-BG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bg-B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bg-B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4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33F32" w:rsidRPr="00633F32" w:rsidRDefault="00633F32" w:rsidP="00633F32">
            <w:r w:rsidRPr="00633F32">
              <w:t>Clusters that minimize variance increase by using an ANOVA sum of squares overall all partitions</w:t>
            </w:r>
          </w:p>
        </w:tc>
      </w:tr>
    </w:tbl>
    <w:p w:rsidR="00633F32" w:rsidRDefault="00633F32" w:rsidP="00633F32"/>
    <w:sectPr w:rsidR="00633F32" w:rsidSect="00AC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C46"/>
    <w:multiLevelType w:val="hybridMultilevel"/>
    <w:tmpl w:val="573895FA"/>
    <w:lvl w:ilvl="0" w:tplc="5B2071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5320"/>
    <w:multiLevelType w:val="hybridMultilevel"/>
    <w:tmpl w:val="C5700BA8"/>
    <w:lvl w:ilvl="0" w:tplc="31F4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3C"/>
    <w:rsid w:val="000A57C9"/>
    <w:rsid w:val="001113D9"/>
    <w:rsid w:val="001622F2"/>
    <w:rsid w:val="001D0ECC"/>
    <w:rsid w:val="00285FFA"/>
    <w:rsid w:val="00290E7C"/>
    <w:rsid w:val="002C52A7"/>
    <w:rsid w:val="002E3CDE"/>
    <w:rsid w:val="004A72F7"/>
    <w:rsid w:val="00537505"/>
    <w:rsid w:val="005B1D3C"/>
    <w:rsid w:val="005D4DF7"/>
    <w:rsid w:val="005E6906"/>
    <w:rsid w:val="0060171C"/>
    <w:rsid w:val="006027FF"/>
    <w:rsid w:val="0061266F"/>
    <w:rsid w:val="0062774E"/>
    <w:rsid w:val="00633F32"/>
    <w:rsid w:val="006C102E"/>
    <w:rsid w:val="00786E0B"/>
    <w:rsid w:val="007D2C42"/>
    <w:rsid w:val="007E09B6"/>
    <w:rsid w:val="00847943"/>
    <w:rsid w:val="00885426"/>
    <w:rsid w:val="0089732A"/>
    <w:rsid w:val="008B07B1"/>
    <w:rsid w:val="008B3F8C"/>
    <w:rsid w:val="00920864"/>
    <w:rsid w:val="00974290"/>
    <w:rsid w:val="009841FD"/>
    <w:rsid w:val="00A06F41"/>
    <w:rsid w:val="00A3316D"/>
    <w:rsid w:val="00A44B92"/>
    <w:rsid w:val="00A5029A"/>
    <w:rsid w:val="00A90D5C"/>
    <w:rsid w:val="00AC75AC"/>
    <w:rsid w:val="00B6203A"/>
    <w:rsid w:val="00BA3EDD"/>
    <w:rsid w:val="00CB6BEF"/>
    <w:rsid w:val="00D639E6"/>
    <w:rsid w:val="00D97FE6"/>
    <w:rsid w:val="00DD5559"/>
    <w:rsid w:val="00DD67BF"/>
    <w:rsid w:val="00DF1BE3"/>
    <w:rsid w:val="00E55F2E"/>
    <w:rsid w:val="00E76299"/>
    <w:rsid w:val="00F7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36FA3"/>
  <w14:defaultImageDpi w14:val="32767"/>
  <w15:chartTrackingRefBased/>
  <w15:docId w15:val="{1033E4E1-17DB-0C42-B657-F964842F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contact@jeffchen.org</dc:creator>
  <cp:keywords/>
  <dc:description/>
  <cp:lastModifiedBy>contact@jeffchen.org</cp:lastModifiedBy>
  <cp:revision>34</cp:revision>
  <dcterms:created xsi:type="dcterms:W3CDTF">2018-11-21T19:19:00Z</dcterms:created>
  <dcterms:modified xsi:type="dcterms:W3CDTF">2018-11-26T12:40:00Z</dcterms:modified>
</cp:coreProperties>
</file>