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8B35" w14:textId="597B29E3" w:rsidR="00FA6FEA" w:rsidRDefault="00FA6FEA">
      <w:r>
        <w:t xml:space="preserve">Um weitere interessante </w:t>
      </w:r>
      <w:proofErr w:type="spellStart"/>
      <w:r>
        <w:t>Genesets</w:t>
      </w:r>
      <w:proofErr w:type="spellEnd"/>
      <w:r>
        <w:t xml:space="preserve"> zu finden, werden die </w:t>
      </w:r>
      <w:proofErr w:type="spellStart"/>
      <w:r>
        <w:t>hallmark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der </w:t>
      </w:r>
      <w:proofErr w:type="spellStart"/>
      <w:r>
        <w:t>MSigDB</w:t>
      </w:r>
      <w:proofErr w:type="spellEnd"/>
      <w:r>
        <w:t xml:space="preserve"> Datenbank angeschaut.</w:t>
      </w:r>
    </w:p>
    <w:p w14:paraId="5B908198" w14:textId="6502D55C" w:rsidR="00FA6FEA" w:rsidRDefault="00D32A80">
      <w:r>
        <w:rPr>
          <w:noProof/>
        </w:rPr>
        <w:drawing>
          <wp:anchor distT="0" distB="0" distL="114300" distR="114300" simplePos="0" relativeHeight="251679744" behindDoc="1" locked="0" layoutInCell="1" allowOverlap="1" wp14:anchorId="654867BB" wp14:editId="056C6EB8">
            <wp:simplePos x="0" y="0"/>
            <wp:positionH relativeFrom="column">
              <wp:posOffset>-604624</wp:posOffset>
            </wp:positionH>
            <wp:positionV relativeFrom="paragraph">
              <wp:posOffset>204616</wp:posOffset>
            </wp:positionV>
            <wp:extent cx="426720" cy="461010"/>
            <wp:effectExtent l="0" t="0" r="0" b="0"/>
            <wp:wrapTight wrapText="bothSides">
              <wp:wrapPolygon edited="0">
                <wp:start x="0" y="0"/>
                <wp:lineTo x="0" y="20529"/>
                <wp:lineTo x="20250" y="20529"/>
                <wp:lineTo x="2025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6720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FEA">
        <w:t xml:space="preserve">Bei PRAD handelt es sich um Karzinome. Demnach wäre es interessant, </w:t>
      </w:r>
      <w:proofErr w:type="spellStart"/>
      <w:r w:rsidR="00FA6FEA">
        <w:t>gene</w:t>
      </w:r>
      <w:proofErr w:type="spellEnd"/>
      <w:r w:rsidR="00FA6FEA">
        <w:t xml:space="preserve"> </w:t>
      </w:r>
      <w:proofErr w:type="spellStart"/>
      <w:r w:rsidR="00FA6FEA">
        <w:t>sets</w:t>
      </w:r>
      <w:proofErr w:type="spellEnd"/>
      <w:r w:rsidR="00FA6FEA">
        <w:t xml:space="preserve"> mit Bezug auf epitheliale Zellen zu wählen:</w:t>
      </w:r>
    </w:p>
    <w:p w14:paraId="652EEC07" w14:textId="2413991C" w:rsidR="00FA6FEA" w:rsidRPr="00055C4D" w:rsidRDefault="009B35BA" w:rsidP="00FA6FEA">
      <w:pPr>
        <w:pStyle w:val="Listenabsatz"/>
        <w:numPr>
          <w:ilvl w:val="0"/>
          <w:numId w:val="1"/>
        </w:numPr>
        <w:rPr>
          <w:lang w:val="en-GB"/>
        </w:rPr>
      </w:pPr>
      <w:hyperlink r:id="rId8" w:history="1">
        <w:r w:rsidR="00FA6FEA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HALLMARK_APICAL_JUNCTION</w:t>
        </w:r>
      </w:hyperlink>
      <w:r w:rsidR="00055C4D" w:rsidRPr="00055C4D">
        <w:rPr>
          <w:lang w:val="en-GB"/>
        </w:rPr>
        <w:t xml:space="preserve">: </w:t>
      </w:r>
      <w:r w:rsidR="00055C4D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components of apical junction complex.</w:t>
      </w:r>
    </w:p>
    <w:p w14:paraId="6CBE1060" w14:textId="46445FF6" w:rsidR="00FA6FEA" w:rsidRPr="00D70657" w:rsidRDefault="009B35BA" w:rsidP="00FA6FEA">
      <w:pPr>
        <w:pStyle w:val="Listenabsatz"/>
        <w:numPr>
          <w:ilvl w:val="0"/>
          <w:numId w:val="1"/>
        </w:numPr>
        <w:rPr>
          <w:lang w:val="en-GB"/>
        </w:rPr>
      </w:pPr>
      <w:hyperlink r:id="rId9" w:history="1">
        <w:r w:rsidR="00FA6FEA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HALLMARK_APICAL_SURFACE</w:t>
        </w:r>
      </w:hyperlink>
      <w:r w:rsidR="00055C4D" w:rsidRPr="00055C4D">
        <w:rPr>
          <w:lang w:val="en-GB"/>
        </w:rPr>
        <w:t xml:space="preserve">: </w:t>
      </w:r>
      <w:r w:rsidR="00055C4D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proteins over-represented on the apical surface of epithelial cells, e.g., important for cell polarity (apical area).</w:t>
      </w:r>
    </w:p>
    <w:p w14:paraId="4822497E" w14:textId="150A3D70" w:rsidR="00D70657" w:rsidRDefault="00D70657" w:rsidP="00D70657">
      <w:proofErr w:type="spellStart"/>
      <w:r w:rsidRPr="00D70657">
        <w:t>Ausßerdem</w:t>
      </w:r>
      <w:proofErr w:type="spellEnd"/>
      <w:r w:rsidRPr="00D70657">
        <w:t xml:space="preserve"> s</w:t>
      </w:r>
      <w:r>
        <w:t>ind oft erbliche bedingte Faktoren, u.a. die DNA-</w:t>
      </w:r>
      <w:proofErr w:type="spellStart"/>
      <w:r>
        <w:t>Raparaturgene</w:t>
      </w:r>
      <w:proofErr w:type="spellEnd"/>
      <w:r>
        <w:t xml:space="preserve"> mutiert (</w:t>
      </w:r>
      <w:r w:rsidRPr="00D70657">
        <w:t>https://www.dna-diagnostik.hamburg/analysen/karzinom-prostata/</w:t>
      </w:r>
      <w:r>
        <w:t>):</w:t>
      </w:r>
    </w:p>
    <w:p w14:paraId="2CF3742E" w14:textId="2DF9B913" w:rsidR="00D70657" w:rsidRPr="00D70657" w:rsidRDefault="00D70657" w:rsidP="00D70657">
      <w:pPr>
        <w:pStyle w:val="Listenabsatz"/>
        <w:numPr>
          <w:ilvl w:val="0"/>
          <w:numId w:val="1"/>
        </w:numPr>
        <w:rPr>
          <w:lang w:val="en-GB"/>
        </w:rPr>
      </w:pPr>
      <w:hyperlink r:id="rId10" w:history="1">
        <w:r w:rsidRPr="00D70657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HALLMARK_DNA_REPAIR</w:t>
        </w:r>
      </w:hyperlink>
      <w:r w:rsidRPr="00D70657">
        <w:rPr>
          <w:lang w:val="en-GB"/>
        </w:rPr>
        <w:t xml:space="preserve">: </w:t>
      </w:r>
      <w:r w:rsidRPr="00D70657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involved in DNA repair.</w:t>
      </w:r>
    </w:p>
    <w:p w14:paraId="32F285A8" w14:textId="68081FE0" w:rsidR="00E66B33" w:rsidRPr="00D70657" w:rsidRDefault="00A800F2" w:rsidP="00E66B33">
      <w:r>
        <w:rPr>
          <w:noProof/>
          <w:lang w:val="en-GB"/>
        </w:rPr>
        <w:drawing>
          <wp:anchor distT="0" distB="0" distL="114300" distR="114300" simplePos="0" relativeHeight="251678720" behindDoc="1" locked="0" layoutInCell="1" allowOverlap="1" wp14:anchorId="2DFBD33D" wp14:editId="53C14786">
            <wp:simplePos x="0" y="0"/>
            <wp:positionH relativeFrom="column">
              <wp:posOffset>-604856</wp:posOffset>
            </wp:positionH>
            <wp:positionV relativeFrom="paragraph">
              <wp:posOffset>54639</wp:posOffset>
            </wp:positionV>
            <wp:extent cx="387820" cy="387820"/>
            <wp:effectExtent l="0" t="0" r="0" b="0"/>
            <wp:wrapTight wrapText="bothSides">
              <wp:wrapPolygon edited="0">
                <wp:start x="0" y="0"/>
                <wp:lineTo x="0" y="20184"/>
                <wp:lineTo x="20184" y="20184"/>
                <wp:lineTo x="20184" y="0"/>
                <wp:lineTo x="0" y="0"/>
              </wp:wrapPolygon>
            </wp:wrapTight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0" cy="3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B33" w:rsidRPr="00D70657">
        <w:t>Nur männliche Patienten:</w:t>
      </w:r>
      <w:r w:rsidRPr="00D70657">
        <w:rPr>
          <w:noProof/>
        </w:rPr>
        <w:t xml:space="preserve"> </w:t>
      </w:r>
    </w:p>
    <w:p w14:paraId="02ED088F" w14:textId="359CD8D7" w:rsidR="00A800F2" w:rsidRPr="00A800F2" w:rsidRDefault="009B35BA" w:rsidP="00055C4D">
      <w:pPr>
        <w:pStyle w:val="Listenabsatz"/>
        <w:numPr>
          <w:ilvl w:val="0"/>
          <w:numId w:val="1"/>
        </w:numPr>
        <w:rPr>
          <w:lang w:val="en-GB"/>
        </w:rPr>
      </w:pPr>
      <w:hyperlink r:id="rId12" w:history="1">
        <w:r w:rsidR="00E66B33" w:rsidRPr="00E66B33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HALLMARK_SPERMATOGENESIS</w:t>
        </w:r>
      </w:hyperlink>
      <w:r w:rsidR="00E66B33" w:rsidRPr="00E66B33">
        <w:rPr>
          <w:lang w:val="en-GB"/>
        </w:rPr>
        <w:t xml:space="preserve">: </w:t>
      </w:r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Genes </w:t>
      </w:r>
      <w:proofErr w:type="gramStart"/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up-regulated</w:t>
      </w:r>
      <w:proofErr w:type="gramEnd"/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 during production of male gametes (sperm), as in spermatogenesis.</w:t>
      </w:r>
    </w:p>
    <w:p w14:paraId="3CAC2AC4" w14:textId="77777777" w:rsidR="00D32A80" w:rsidRDefault="00D32A80" w:rsidP="00055C4D">
      <w:pPr>
        <w:rPr>
          <w:lang w:val="en-GB"/>
        </w:rPr>
      </w:pPr>
    </w:p>
    <w:p w14:paraId="5254E34E" w14:textId="449833F7" w:rsidR="00D32A80" w:rsidRPr="00D32A80" w:rsidRDefault="00D32A80" w:rsidP="00055C4D">
      <w:r w:rsidRPr="00D32A80">
        <w:t>Darüber hinaus wurden e</w:t>
      </w:r>
      <w:r>
        <w:t xml:space="preserve">ntsprechend zu den </w:t>
      </w:r>
      <w:proofErr w:type="spellStart"/>
      <w:r>
        <w:t>hallmarks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(</w:t>
      </w:r>
      <w:proofErr w:type="spellStart"/>
      <w:r>
        <w:t>Hanahan</w:t>
      </w:r>
      <w:proofErr w:type="spellEnd"/>
      <w:r>
        <w:t xml:space="preserve">, Weinberg 2011) passende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gewählt. Teilweise wird es zu Überschneidungen zu den vorgegebenen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kommen.</w:t>
      </w:r>
    </w:p>
    <w:p w14:paraId="447D1651" w14:textId="33F17CFE" w:rsidR="00055C4D" w:rsidRPr="00D32A80" w:rsidRDefault="00A800F2" w:rsidP="00055C4D">
      <w:r w:rsidRPr="00A800F2">
        <w:rPr>
          <w:noProof/>
        </w:rPr>
        <w:drawing>
          <wp:anchor distT="0" distB="0" distL="114300" distR="114300" simplePos="0" relativeHeight="251677696" behindDoc="0" locked="0" layoutInCell="1" allowOverlap="1" wp14:anchorId="317D4D33" wp14:editId="113CACAC">
            <wp:simplePos x="0" y="0"/>
            <wp:positionH relativeFrom="column">
              <wp:posOffset>-349250</wp:posOffset>
            </wp:positionH>
            <wp:positionV relativeFrom="paragraph">
              <wp:posOffset>299085</wp:posOffset>
            </wp:positionV>
            <wp:extent cx="247650" cy="285750"/>
            <wp:effectExtent l="0" t="0" r="0" b="0"/>
            <wp:wrapTight wrapText="bothSides">
              <wp:wrapPolygon edited="0">
                <wp:start x="0" y="0"/>
                <wp:lineTo x="0" y="20160"/>
                <wp:lineTo x="19938" y="20160"/>
                <wp:lineTo x="1993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0F2">
        <w:rPr>
          <w:noProof/>
          <w:lang w:val="en-GB"/>
        </w:rPr>
        <w:drawing>
          <wp:anchor distT="0" distB="0" distL="114300" distR="114300" simplePos="0" relativeHeight="251673600" behindDoc="0" locked="0" layoutInCell="1" allowOverlap="1" wp14:anchorId="668BB856" wp14:editId="64CAEB6D">
            <wp:simplePos x="0" y="0"/>
            <wp:positionH relativeFrom="column">
              <wp:posOffset>-420370</wp:posOffset>
            </wp:positionH>
            <wp:positionV relativeFrom="paragraph">
              <wp:posOffset>30480</wp:posOffset>
            </wp:positionV>
            <wp:extent cx="325120" cy="247650"/>
            <wp:effectExtent l="0" t="0" r="0" b="0"/>
            <wp:wrapTight wrapText="bothSides">
              <wp:wrapPolygon edited="0">
                <wp:start x="0" y="0"/>
                <wp:lineTo x="0" y="19938"/>
                <wp:lineTo x="20250" y="19938"/>
                <wp:lineTo x="20250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048"/>
                    <a:stretch/>
                  </pic:blipFill>
                  <pic:spPr bwMode="auto">
                    <a:xfrm>
                      <a:off x="0" y="0"/>
                      <a:ext cx="32512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00F2">
        <w:rPr>
          <w:noProof/>
          <w:lang w:val="en-GB"/>
        </w:rPr>
        <w:drawing>
          <wp:anchor distT="0" distB="0" distL="114300" distR="114300" simplePos="0" relativeHeight="251675648" behindDoc="0" locked="0" layoutInCell="1" allowOverlap="1" wp14:anchorId="04E6F965" wp14:editId="43AC8635">
            <wp:simplePos x="0" y="0"/>
            <wp:positionH relativeFrom="column">
              <wp:posOffset>-730250</wp:posOffset>
            </wp:positionH>
            <wp:positionV relativeFrom="paragraph">
              <wp:posOffset>230505</wp:posOffset>
            </wp:positionV>
            <wp:extent cx="380365" cy="247650"/>
            <wp:effectExtent l="0" t="0" r="635" b="0"/>
            <wp:wrapTight wrapText="bothSides">
              <wp:wrapPolygon edited="0">
                <wp:start x="0" y="0"/>
                <wp:lineTo x="0" y="19938"/>
                <wp:lineTo x="20554" y="19938"/>
                <wp:lineTo x="20554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7409"/>
                    <a:stretch/>
                  </pic:blipFill>
                  <pic:spPr bwMode="auto">
                    <a:xfrm>
                      <a:off x="0" y="0"/>
                      <a:ext cx="38036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5C4D" w:rsidRPr="00D32A80">
        <w:t>Zellzyklus:</w:t>
      </w:r>
    </w:p>
    <w:p w14:paraId="60F1D1AB" w14:textId="7C0A0707" w:rsidR="00055C4D" w:rsidRPr="00055C4D" w:rsidRDefault="009B35BA" w:rsidP="00055C4D">
      <w:pPr>
        <w:pStyle w:val="Listenabsatz"/>
        <w:numPr>
          <w:ilvl w:val="0"/>
          <w:numId w:val="1"/>
        </w:numPr>
        <w:rPr>
          <w:lang w:val="en-GB"/>
        </w:rPr>
      </w:pPr>
      <w:hyperlink r:id="rId15" w:history="1">
        <w:r w:rsidR="00055C4D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HALLMARK_G2M_CHECKPOINT</w:t>
        </w:r>
      </w:hyperlink>
      <w:r w:rsidR="00055C4D" w:rsidRPr="00055C4D">
        <w:rPr>
          <w:lang w:val="en-GB"/>
        </w:rPr>
        <w:t xml:space="preserve">: </w:t>
      </w:r>
      <w:r w:rsidR="00055C4D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involved in the G2/M checkpoint, as in progression through the cell division cycle.</w:t>
      </w:r>
    </w:p>
    <w:p w14:paraId="20F57026" w14:textId="6DABCDD3" w:rsidR="00055C4D" w:rsidRDefault="00A800F2" w:rsidP="00055C4D">
      <w:pPr>
        <w:rPr>
          <w:lang w:val="en-GB"/>
        </w:rPr>
      </w:pPr>
      <w:r w:rsidRPr="00A800F2"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7943266C" wp14:editId="357511FA">
            <wp:simplePos x="0" y="0"/>
            <wp:positionH relativeFrom="column">
              <wp:posOffset>-447675</wp:posOffset>
            </wp:positionH>
            <wp:positionV relativeFrom="paragraph">
              <wp:posOffset>59055</wp:posOffset>
            </wp:positionV>
            <wp:extent cx="26670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0057" y="20855"/>
                <wp:lineTo x="20057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5B5">
        <w:rPr>
          <w:lang w:val="en-GB"/>
        </w:rPr>
        <w:t>Avoiding immune destruction:</w:t>
      </w:r>
    </w:p>
    <w:p w14:paraId="46DCB4E0" w14:textId="1AA37A59" w:rsidR="00055C4D" w:rsidRPr="00E66B33" w:rsidRDefault="00A800F2" w:rsidP="00055C4D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</w:rPr>
        <w:drawing>
          <wp:anchor distT="0" distB="0" distL="114300" distR="114300" simplePos="0" relativeHeight="251669504" behindDoc="0" locked="0" layoutInCell="1" allowOverlap="1" wp14:anchorId="11827EE6" wp14:editId="2CF80EC7">
            <wp:simplePos x="0" y="0"/>
            <wp:positionH relativeFrom="column">
              <wp:posOffset>-471170</wp:posOffset>
            </wp:positionH>
            <wp:positionV relativeFrom="paragraph">
              <wp:posOffset>403225</wp:posOffset>
            </wp:positionV>
            <wp:extent cx="276225" cy="209550"/>
            <wp:effectExtent l="0" t="0" r="0" b="0"/>
            <wp:wrapTight wrapText="bothSides">
              <wp:wrapPolygon edited="0">
                <wp:start x="0" y="0"/>
                <wp:lineTo x="0" y="19636"/>
                <wp:lineTo x="19366" y="19636"/>
                <wp:lineTo x="1936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 w:history="1">
        <w:r w:rsidR="00055C4D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HALLMARK_COMPLEMENT</w:t>
        </w:r>
      </w:hyperlink>
      <w:r w:rsidR="00055C4D" w:rsidRPr="00055C4D">
        <w:rPr>
          <w:lang w:val="en-GB"/>
        </w:rPr>
        <w:t xml:space="preserve">: </w:t>
      </w:r>
      <w:r w:rsidR="00055C4D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components of the complement system, which is part of the innate immune system.</w:t>
      </w:r>
    </w:p>
    <w:p w14:paraId="244CAB3D" w14:textId="5F27C204" w:rsidR="00E66B33" w:rsidRDefault="00E66B33" w:rsidP="00E66B33">
      <w:pPr>
        <w:rPr>
          <w:lang w:val="en-GB"/>
        </w:rPr>
      </w:pP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promoting inflammation:</w:t>
      </w:r>
      <w:r w:rsidR="00A800F2" w:rsidRPr="00A800F2">
        <w:rPr>
          <w:noProof/>
        </w:rPr>
        <w:t xml:space="preserve"> </w:t>
      </w:r>
    </w:p>
    <w:p w14:paraId="726A3803" w14:textId="42C1A9FF" w:rsidR="00E66B33" w:rsidRPr="00E66B33" w:rsidRDefault="00A800F2" w:rsidP="00E66B33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</w:rPr>
        <w:drawing>
          <wp:anchor distT="0" distB="0" distL="114300" distR="114300" simplePos="0" relativeHeight="251667456" behindDoc="0" locked="0" layoutInCell="1" allowOverlap="1" wp14:anchorId="08CFB664" wp14:editId="07EEEF12">
            <wp:simplePos x="0" y="0"/>
            <wp:positionH relativeFrom="column">
              <wp:posOffset>-500380</wp:posOffset>
            </wp:positionH>
            <wp:positionV relativeFrom="paragraph">
              <wp:posOffset>310515</wp:posOffset>
            </wp:positionV>
            <wp:extent cx="30480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0250" y="20661"/>
                <wp:lineTo x="2025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 w:history="1">
        <w:r w:rsidR="00E66B33" w:rsidRPr="00E66B33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HALLMARK_INFLAMMATORY_RESPONSE</w:t>
        </w:r>
      </w:hyperlink>
      <w:r w:rsidR="00E66B33" w:rsidRPr="00E66B33">
        <w:rPr>
          <w:lang w:val="en-GB"/>
        </w:rPr>
        <w:t xml:space="preserve">: </w:t>
      </w:r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defining inflammatory response.</w:t>
      </w:r>
    </w:p>
    <w:p w14:paraId="75048542" w14:textId="210C36AA" w:rsidR="007805B5" w:rsidRDefault="007805B5" w:rsidP="00E66B33">
      <w:pPr>
        <w:rPr>
          <w:lang w:val="en-GB"/>
        </w:rPr>
      </w:pPr>
      <w:r>
        <w:rPr>
          <w:lang w:val="en-GB"/>
        </w:rPr>
        <w:t>Activating invasion and metastasis:</w:t>
      </w:r>
    </w:p>
    <w:p w14:paraId="6A4071C3" w14:textId="6880C0B9" w:rsidR="007805B5" w:rsidRPr="007805B5" w:rsidRDefault="00A800F2" w:rsidP="007805B5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</w:rPr>
        <w:drawing>
          <wp:anchor distT="0" distB="0" distL="114300" distR="114300" simplePos="0" relativeHeight="251665408" behindDoc="0" locked="0" layoutInCell="1" allowOverlap="1" wp14:anchorId="794740F9" wp14:editId="4C391136">
            <wp:simplePos x="0" y="0"/>
            <wp:positionH relativeFrom="column">
              <wp:posOffset>-446405</wp:posOffset>
            </wp:positionH>
            <wp:positionV relativeFrom="paragraph">
              <wp:posOffset>401955</wp:posOffset>
            </wp:positionV>
            <wp:extent cx="228600" cy="266700"/>
            <wp:effectExtent l="0" t="0" r="0" b="0"/>
            <wp:wrapTight wrapText="bothSides">
              <wp:wrapPolygon edited="0">
                <wp:start x="0" y="0"/>
                <wp:lineTo x="0" y="20057"/>
                <wp:lineTo x="19800" y="20057"/>
                <wp:lineTo x="198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 w:history="1">
        <w:r w:rsidR="007805B5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HALLMARK_EPITHELIAL_MESENCHYMAL_TRANSITION</w:t>
        </w:r>
      </w:hyperlink>
      <w:r w:rsidR="007805B5" w:rsidRPr="00055C4D">
        <w:rPr>
          <w:lang w:val="en-GB"/>
        </w:rPr>
        <w:t xml:space="preserve">: </w:t>
      </w:r>
      <w:r w:rsidR="007805B5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Genes defining epithelial-mesenchymal transition, as in wound healing, </w:t>
      </w:r>
      <w:proofErr w:type="gramStart"/>
      <w:r w:rsidR="007805B5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fibrosis</w:t>
      </w:r>
      <w:proofErr w:type="gramEnd"/>
      <w:r w:rsidR="007805B5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 and metastasis.</w:t>
      </w:r>
    </w:p>
    <w:p w14:paraId="4F08357D" w14:textId="374BABA5" w:rsidR="007805B5" w:rsidRDefault="007805B5" w:rsidP="007805B5">
      <w:pPr>
        <w:rPr>
          <w:lang w:val="en-GB"/>
        </w:rPr>
      </w:pPr>
      <w:r>
        <w:rPr>
          <w:lang w:val="en-GB"/>
        </w:rPr>
        <w:t>Inducing angiogenesis:</w:t>
      </w:r>
    </w:p>
    <w:p w14:paraId="426A4FDA" w14:textId="3F1A3E5C" w:rsidR="007805B5" w:rsidRPr="007805B5" w:rsidRDefault="00A800F2" w:rsidP="007805B5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</w:rPr>
        <w:drawing>
          <wp:anchor distT="0" distB="0" distL="114300" distR="114300" simplePos="0" relativeHeight="251663360" behindDoc="0" locked="0" layoutInCell="1" allowOverlap="1" wp14:anchorId="3A018C59" wp14:editId="3FFF3491">
            <wp:simplePos x="0" y="0"/>
            <wp:positionH relativeFrom="column">
              <wp:posOffset>-518602</wp:posOffset>
            </wp:positionH>
            <wp:positionV relativeFrom="paragraph">
              <wp:posOffset>226117</wp:posOffset>
            </wp:positionV>
            <wp:extent cx="323852" cy="285752"/>
            <wp:effectExtent l="0" t="0" r="0" b="0"/>
            <wp:wrapTight wrapText="bothSides">
              <wp:wrapPolygon edited="0">
                <wp:start x="0" y="0"/>
                <wp:lineTo x="0" y="20160"/>
                <wp:lineTo x="20329" y="20160"/>
                <wp:lineTo x="2032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2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 w:history="1">
        <w:r w:rsidR="007805B5" w:rsidRPr="007805B5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HALLMARK_ANGIOGENESIS</w:t>
        </w:r>
      </w:hyperlink>
      <w:r w:rsidR="007805B5" w:rsidRPr="007805B5">
        <w:rPr>
          <w:lang w:val="en-GB"/>
        </w:rPr>
        <w:t xml:space="preserve">: </w:t>
      </w:r>
      <w:r w:rsidR="007805B5" w:rsidRPr="007805B5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Genes </w:t>
      </w:r>
      <w:proofErr w:type="gramStart"/>
      <w:r w:rsidR="007805B5" w:rsidRPr="007805B5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up-regulated</w:t>
      </w:r>
      <w:proofErr w:type="gramEnd"/>
      <w:r w:rsidR="007805B5" w:rsidRPr="007805B5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 during formation of blood vessels (angiogenesis).</w:t>
      </w:r>
    </w:p>
    <w:p w14:paraId="775B3181" w14:textId="306C7885" w:rsidR="00E66B33" w:rsidRDefault="007805B5" w:rsidP="00E66B33">
      <w:pPr>
        <w:rPr>
          <w:lang w:val="en-GB"/>
        </w:rPr>
      </w:pPr>
      <w:r>
        <w:rPr>
          <w:lang w:val="en-GB"/>
        </w:rPr>
        <w:t>Genome</w:t>
      </w:r>
      <w:r w:rsidR="00E66B33">
        <w:rPr>
          <w:lang w:val="en-GB"/>
        </w:rPr>
        <w:t xml:space="preserve"> instability</w:t>
      </w:r>
      <w:r>
        <w:rPr>
          <w:lang w:val="en-GB"/>
        </w:rPr>
        <w:t xml:space="preserve"> &amp; mutation</w:t>
      </w:r>
      <w:r w:rsidR="00E66B33">
        <w:rPr>
          <w:lang w:val="en-GB"/>
        </w:rPr>
        <w:t>:</w:t>
      </w:r>
    </w:p>
    <w:p w14:paraId="5FAEEB6D" w14:textId="3429FE0C" w:rsidR="00E66B33" w:rsidRPr="00E66B33" w:rsidRDefault="00A800F2" w:rsidP="00E66B33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6CF49E7" wp14:editId="7AAA5BE5">
            <wp:simplePos x="0" y="0"/>
            <wp:positionH relativeFrom="column">
              <wp:posOffset>-494665</wp:posOffset>
            </wp:positionH>
            <wp:positionV relativeFrom="paragraph">
              <wp:posOffset>238125</wp:posOffset>
            </wp:positionV>
            <wp:extent cx="2762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0855" y="20903"/>
                <wp:lineTo x="2085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 w:history="1">
        <w:r w:rsidR="00E66B33" w:rsidRPr="00E66B33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HALLMARK_REACTIVE_OXYGEN_SPECIES_PATHWAY</w:t>
        </w:r>
      </w:hyperlink>
      <w:r w:rsidR="00E66B33" w:rsidRPr="00E66B33">
        <w:rPr>
          <w:lang w:val="en-GB"/>
        </w:rPr>
        <w:t>:</w:t>
      </w:r>
      <w:r w:rsidR="00E66B33">
        <w:rPr>
          <w:lang w:val="en-GB"/>
        </w:rPr>
        <w:t xml:space="preserve"> </w:t>
      </w:r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Genes </w:t>
      </w:r>
      <w:proofErr w:type="gramStart"/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up-regulated</w:t>
      </w:r>
      <w:proofErr w:type="gramEnd"/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 by reactive </w:t>
      </w:r>
      <w:proofErr w:type="spellStart"/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oxigen</w:t>
      </w:r>
      <w:proofErr w:type="spellEnd"/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 species (ROS).</w:t>
      </w:r>
    </w:p>
    <w:p w14:paraId="265DF51F" w14:textId="0500452A" w:rsidR="00E66B33" w:rsidRDefault="00E66B33" w:rsidP="00E66B33">
      <w:pPr>
        <w:rPr>
          <w:lang w:val="en-GB"/>
        </w:rPr>
      </w:pPr>
      <w:r>
        <w:rPr>
          <w:lang w:val="en-GB"/>
        </w:rPr>
        <w:t>Resisting cell death:</w:t>
      </w:r>
    </w:p>
    <w:p w14:paraId="681CAF0A" w14:textId="35212FC8" w:rsidR="00E66B33" w:rsidRPr="007805B5" w:rsidRDefault="009B35BA" w:rsidP="00E66B33">
      <w:pPr>
        <w:pStyle w:val="Listenabsatz"/>
        <w:numPr>
          <w:ilvl w:val="0"/>
          <w:numId w:val="1"/>
        </w:numPr>
        <w:rPr>
          <w:lang w:val="en-GB"/>
        </w:rPr>
      </w:pPr>
      <w:hyperlink r:id="rId27" w:history="1">
        <w:r w:rsidR="00E66B33" w:rsidRPr="00E66B33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HALLMARK_APOPTOSIS</w:t>
        </w:r>
      </w:hyperlink>
      <w:r w:rsidR="00E66B33" w:rsidRPr="00E66B33">
        <w:rPr>
          <w:lang w:val="en-GB"/>
        </w:rPr>
        <w:t xml:space="preserve">: </w:t>
      </w:r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mediating programmed cell death (apoptosis) by activation of caspases.</w:t>
      </w:r>
    </w:p>
    <w:p w14:paraId="46573CE8" w14:textId="5EDECF1D" w:rsidR="007805B5" w:rsidRDefault="00A800F2" w:rsidP="007805B5">
      <w:pPr>
        <w:rPr>
          <w:lang w:val="en-GB"/>
        </w:rPr>
      </w:pPr>
      <w:r w:rsidRPr="00A800F2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AD85574" wp14:editId="745ECD95">
            <wp:simplePos x="0" y="0"/>
            <wp:positionH relativeFrom="column">
              <wp:posOffset>-605155</wp:posOffset>
            </wp:positionH>
            <wp:positionV relativeFrom="paragraph">
              <wp:posOffset>305435</wp:posOffset>
            </wp:positionV>
            <wp:extent cx="40957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098" y="20520"/>
                <wp:lineTo x="2109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5B5">
        <w:rPr>
          <w:lang w:val="en-GB"/>
        </w:rPr>
        <w:t>Deregulating cellular energetics:</w:t>
      </w:r>
    </w:p>
    <w:p w14:paraId="7C56078A" w14:textId="2F9FE5B6" w:rsidR="007805B5" w:rsidRPr="00A800F2" w:rsidRDefault="009B35BA" w:rsidP="007805B5">
      <w:pPr>
        <w:pStyle w:val="Listenabsatz"/>
        <w:numPr>
          <w:ilvl w:val="0"/>
          <w:numId w:val="1"/>
        </w:numPr>
        <w:rPr>
          <w:lang w:val="en-GB"/>
        </w:rPr>
      </w:pPr>
      <w:hyperlink r:id="rId29" w:history="1">
        <w:r w:rsidR="007805B5" w:rsidRPr="00E66B33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HALLMARK_HYPOXIA</w:t>
        </w:r>
      </w:hyperlink>
      <w:r w:rsidR="007805B5" w:rsidRPr="00E66B33">
        <w:rPr>
          <w:lang w:val="en-GB"/>
        </w:rPr>
        <w:t xml:space="preserve">: </w:t>
      </w:r>
      <w:r w:rsidR="007805B5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Genes </w:t>
      </w:r>
      <w:proofErr w:type="gramStart"/>
      <w:r w:rsidR="007805B5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up-regulated</w:t>
      </w:r>
      <w:proofErr w:type="gramEnd"/>
      <w:r w:rsidR="007805B5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 xml:space="preserve"> in response to low oxygen levels (hypoxia).</w:t>
      </w:r>
    </w:p>
    <w:p w14:paraId="36291923" w14:textId="77777777" w:rsidR="00A800F2" w:rsidRPr="00055C4D" w:rsidRDefault="009B35BA" w:rsidP="00A800F2">
      <w:pPr>
        <w:pStyle w:val="Listenabsatz"/>
        <w:numPr>
          <w:ilvl w:val="0"/>
          <w:numId w:val="1"/>
        </w:numPr>
        <w:rPr>
          <w:lang w:val="en-GB"/>
        </w:rPr>
      </w:pPr>
      <w:hyperlink r:id="rId30" w:history="1">
        <w:r w:rsidR="00A800F2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HALLMARK_GLYCOLYSIS</w:t>
        </w:r>
      </w:hyperlink>
      <w:r w:rsidR="00A800F2" w:rsidRPr="00055C4D">
        <w:rPr>
          <w:lang w:val="en-GB"/>
        </w:rPr>
        <w:t xml:space="preserve">: </w:t>
      </w:r>
      <w:r w:rsidR="00A800F2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proteins involved in glycolysis and gluconeogenesis.</w:t>
      </w:r>
    </w:p>
    <w:p w14:paraId="243C3E27" w14:textId="0AB159B8" w:rsidR="00A800F2" w:rsidRPr="00A800F2" w:rsidRDefault="009B35BA" w:rsidP="00A800F2">
      <w:pPr>
        <w:pStyle w:val="Listenabsatz"/>
        <w:numPr>
          <w:ilvl w:val="0"/>
          <w:numId w:val="1"/>
        </w:numPr>
        <w:rPr>
          <w:lang w:val="en-GB"/>
        </w:rPr>
      </w:pPr>
      <w:hyperlink r:id="rId31" w:history="1">
        <w:r w:rsidR="00A800F2" w:rsidRPr="00055C4D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HALLMARK_FATTY_ACID_METABOLISM</w:t>
        </w:r>
      </w:hyperlink>
      <w:r w:rsidR="00A800F2" w:rsidRPr="00055C4D">
        <w:rPr>
          <w:lang w:val="en-GB"/>
        </w:rPr>
        <w:t xml:space="preserve">: </w:t>
      </w:r>
      <w:r w:rsidR="00A800F2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proteins involved in metabolism of fatty acids</w:t>
      </w:r>
      <w:r w:rsidR="00A800F2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.</w:t>
      </w:r>
    </w:p>
    <w:p w14:paraId="50CB9AF2" w14:textId="06E32040" w:rsidR="00A800F2" w:rsidRDefault="00A800F2" w:rsidP="00A800F2">
      <w:pPr>
        <w:rPr>
          <w:lang w:val="en-GB"/>
        </w:rPr>
      </w:pPr>
    </w:p>
    <w:p w14:paraId="5258D898" w14:textId="4CAE94D2" w:rsidR="00A800F2" w:rsidRPr="00A800F2" w:rsidRDefault="00A800F2" w:rsidP="00A800F2">
      <w:pPr>
        <w:rPr>
          <w:lang w:val="en-GB"/>
        </w:rPr>
      </w:pPr>
      <w:r>
        <w:rPr>
          <w:noProof/>
        </w:rPr>
        <w:drawing>
          <wp:inline distT="0" distB="0" distL="0" distR="0" wp14:anchorId="5BE034BE" wp14:editId="61E4CF37">
            <wp:extent cx="5760720" cy="4224655"/>
            <wp:effectExtent l="0" t="0" r="0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9F29" w14:textId="346E9A14" w:rsidR="00055C4D" w:rsidRPr="00055C4D" w:rsidRDefault="00055C4D" w:rsidP="00055C4D">
      <w:pPr>
        <w:rPr>
          <w:lang w:val="en-GB"/>
        </w:rPr>
      </w:pPr>
    </w:p>
    <w:p w14:paraId="1219C6E9" w14:textId="77777777" w:rsidR="00055C4D" w:rsidRPr="00055C4D" w:rsidRDefault="00055C4D" w:rsidP="00055C4D">
      <w:pPr>
        <w:rPr>
          <w:lang w:val="en-GB"/>
        </w:rPr>
      </w:pPr>
    </w:p>
    <w:sectPr w:rsidR="00055C4D" w:rsidRPr="00055C4D" w:rsidSect="00527FB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44D5" w14:textId="77777777" w:rsidR="009B35BA" w:rsidRDefault="009B35BA" w:rsidP="00FA6FEA">
      <w:pPr>
        <w:spacing w:after="0" w:line="240" w:lineRule="auto"/>
      </w:pPr>
      <w:r>
        <w:separator/>
      </w:r>
    </w:p>
  </w:endnote>
  <w:endnote w:type="continuationSeparator" w:id="0">
    <w:p w14:paraId="2E46DA43" w14:textId="77777777" w:rsidR="009B35BA" w:rsidRDefault="009B35BA" w:rsidP="00FA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1E884" w14:textId="77777777" w:rsidR="00D32A80" w:rsidRDefault="00D32A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79C1" w14:textId="77777777" w:rsidR="00D32A80" w:rsidRDefault="00D32A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FCAB" w14:textId="77777777" w:rsidR="00D32A80" w:rsidRDefault="00D32A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82A0" w14:textId="77777777" w:rsidR="009B35BA" w:rsidRDefault="009B35BA" w:rsidP="00FA6FEA">
      <w:pPr>
        <w:spacing w:after="0" w:line="240" w:lineRule="auto"/>
      </w:pPr>
      <w:r>
        <w:separator/>
      </w:r>
    </w:p>
  </w:footnote>
  <w:footnote w:type="continuationSeparator" w:id="0">
    <w:p w14:paraId="661EC882" w14:textId="77777777" w:rsidR="009B35BA" w:rsidRDefault="009B35BA" w:rsidP="00FA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2D0D" w14:textId="77777777" w:rsidR="00D32A80" w:rsidRDefault="00D32A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F4D4" w14:textId="62D7600B" w:rsidR="00FA6FEA" w:rsidRDefault="00FA6FEA" w:rsidP="00FA6FEA">
    <w:pPr>
      <w:pStyle w:val="Kopfzeile"/>
      <w:jc w:val="center"/>
    </w:pPr>
    <w:r>
      <w:t xml:space="preserve">Zusätzliche </w:t>
    </w:r>
    <w:proofErr w:type="spellStart"/>
    <w:r>
      <w:t>Genesets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6227" w14:textId="77777777" w:rsidR="00D32A80" w:rsidRDefault="00D32A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4048"/>
    <w:multiLevelType w:val="hybridMultilevel"/>
    <w:tmpl w:val="906C0A54"/>
    <w:lvl w:ilvl="0" w:tplc="38326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6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A"/>
    <w:rsid w:val="00055C4D"/>
    <w:rsid w:val="00527FB8"/>
    <w:rsid w:val="00553F92"/>
    <w:rsid w:val="00562417"/>
    <w:rsid w:val="007805B5"/>
    <w:rsid w:val="0082558E"/>
    <w:rsid w:val="009B35BA"/>
    <w:rsid w:val="00A800F2"/>
    <w:rsid w:val="00D32A80"/>
    <w:rsid w:val="00D70657"/>
    <w:rsid w:val="00E66B33"/>
    <w:rsid w:val="00FA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1D16"/>
  <w15:chartTrackingRefBased/>
  <w15:docId w15:val="{914380CA-98A4-4D7F-8264-F691FAF0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3F92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6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FEA"/>
  </w:style>
  <w:style w:type="paragraph" w:styleId="Fuzeile">
    <w:name w:val="footer"/>
    <w:basedOn w:val="Standard"/>
    <w:link w:val="FuzeileZchn"/>
    <w:uiPriority w:val="99"/>
    <w:unhideWhenUsed/>
    <w:rsid w:val="00FA6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FEA"/>
  </w:style>
  <w:style w:type="paragraph" w:styleId="Listenabsatz">
    <w:name w:val="List Paragraph"/>
    <w:basedOn w:val="Standard"/>
    <w:uiPriority w:val="34"/>
    <w:qFormat/>
    <w:rsid w:val="00FA6FE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A6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gsea-msigdb.org/gsea/msigdb/cards/HALLMARK_COMPLEMENT.html" TargetMode="External"/><Relationship Id="rId26" Type="http://schemas.openxmlformats.org/officeDocument/2006/relationships/hyperlink" Target="https://www.gsea-msigdb.org/gsea/msigdb/cards/HALLMARK_REACTIVE_OXYGEN_SPECIES_PATHWAY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www.gsea-msigdb.org/gsea/msigdb/cards/HALLMARK_SPERMATOGENESIS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gsea-msigdb.org/gsea/msigdb/cards/HALLMARK_INFLAMMATORY_RESPONSE.html" TargetMode="External"/><Relationship Id="rId29" Type="http://schemas.openxmlformats.org/officeDocument/2006/relationships/hyperlink" Target="https://www.gsea-msigdb.org/gsea/msigdb/cards/HALLMARK_HYPOXI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gsea-msigdb.org/gsea/msigdb/cards/HALLMARK_ANGIOGENESIS.html" TargetMode="External"/><Relationship Id="rId32" Type="http://schemas.openxmlformats.org/officeDocument/2006/relationships/image" Target="media/image12.jpe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sea-msigdb.org/gsea/msigdb/cards/HALLMARK_G2M_CHECKPOINT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oter" Target="footer2.xml"/><Relationship Id="rId10" Type="http://schemas.openxmlformats.org/officeDocument/2006/relationships/hyperlink" Target="https://www.gsea-msigdb.org/gsea/msigdb/cards/HALLMARK_DNA_REPAIR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gsea-msigdb.org/gsea/msigdb/cards/HALLMARK_FATTY_ACID_METABOLIS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sea-msigdb.org/gsea/msigdb/cards/HALLMARK_APICAL_SURFACE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gsea-msigdb.org/gsea/msigdb/cards/HALLMARK_EPITHELIAL_MESENCHYMAL_TRANSITION.html" TargetMode="External"/><Relationship Id="rId27" Type="http://schemas.openxmlformats.org/officeDocument/2006/relationships/hyperlink" Target="https://www.gsea-msigdb.org/gsea/msigdb/cards/HALLMARK_APOPTOSIS.html" TargetMode="External"/><Relationship Id="rId30" Type="http://schemas.openxmlformats.org/officeDocument/2006/relationships/hyperlink" Target="https://www.gsea-msigdb.org/gsea/msigdb/cards/HALLMARK_GLYCOLYSIS.html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gsea-msigdb.org/gsea/msigdb/cards/HALLMARK_APICAL_JUNCTIO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2</cp:revision>
  <dcterms:created xsi:type="dcterms:W3CDTF">2022-05-12T12:53:00Z</dcterms:created>
  <dcterms:modified xsi:type="dcterms:W3CDTF">2022-05-12T13:24:00Z</dcterms:modified>
</cp:coreProperties>
</file>