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 xml:space="preserve">e seasonality effect is minimal </w:t>
      </w:r>
      <w:r w:rsidR="00455FB2">
        <w:t>(</w:t>
      </w:r>
      <w:proofErr w:type="spellStart"/>
      <w:r w:rsidR="00455FB2" w:rsidRPr="00FE2D31">
        <w:t>Prabhakaran</w:t>
      </w:r>
      <w:proofErr w:type="spellEnd"/>
      <w:r w:rsidR="00455FB2">
        <w:t>, 2017)</w:t>
      </w:r>
      <w:r w:rsidR="00455FB2">
        <w:t>.</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bookmarkStart w:id="0" w:name="_GoBack"/>
      <w:bookmarkEnd w:id="0"/>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Time Series Analysis for Epidemiological Data</w:t>
      </w:r>
      <w:r>
        <w:t xml:space="preserve">,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FE2D31" w:rsidRDefault="00FE2D31" w:rsidP="003B2876">
      <w:pPr>
        <w:pBdr>
          <w:bottom w:val="single" w:sz="6" w:space="1" w:color="auto"/>
        </w:pBdr>
      </w:pPr>
    </w:p>
    <w:p w:rsidR="00FE2D31" w:rsidRDefault="00FE2D31" w:rsidP="003B2876"/>
    <w:p w:rsidR="003B2876" w:rsidRDefault="003B2876" w:rsidP="003B2876"/>
    <w:p w:rsidR="003B2876" w:rsidRDefault="003B2876" w:rsidP="003B2876"/>
    <w:p w:rsidR="003B2876" w:rsidRDefault="00536A60"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20</w:t>
      </w:r>
      <w:r w:rsidRPr="00FE2D31">
        <w:t xml:space="preserve">17 </w:t>
      </w:r>
      <w:proofErr w:type="spellStart"/>
      <w:r w:rsidRPr="00FE2D31">
        <w:t>Selva</w:t>
      </w:r>
      <w:proofErr w:type="spellEnd"/>
      <w:r w:rsidRPr="00FE2D31">
        <w:t xml:space="preserve"> </w:t>
      </w:r>
      <w:proofErr w:type="spellStart"/>
      <w:r w:rsidRPr="00FE2D31">
        <w:t>Prabhakaran</w:t>
      </w:r>
      <w:proofErr w:type="spellEnd"/>
      <w:r w:rsidRPr="00FE2D31">
        <w:t xml:space="preserve">, </w:t>
      </w:r>
      <w:r w:rsidRPr="00FE2D31">
        <w:t>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536A60" w:rsidP="003B2876">
      <w:hyperlink r:id="rId8" w:anchor="How_to_Check_Stationarity" w:history="1">
        <w:r w:rsidR="003B2876" w:rsidRPr="00777400">
          <w:rPr>
            <w:rStyle w:val="Hyperlink"/>
          </w:rPr>
          <w:t>https://ww</w:t>
        </w:r>
        <w:r w:rsidR="003B2876" w:rsidRPr="00777400">
          <w:rPr>
            <w:rStyle w:val="Hyperlink"/>
          </w:rPr>
          <w:t>w</w:t>
        </w:r>
        <w:r w:rsidR="003B2876" w:rsidRPr="00777400">
          <w:rPr>
            <w:rStyle w:val="Hyperlink"/>
          </w:rPr>
          <w:t>.a</w:t>
        </w:r>
        <w:r w:rsidR="003B2876" w:rsidRPr="00777400">
          <w:rPr>
            <w:rStyle w:val="Hyperlink"/>
          </w:rPr>
          <w:t>n</w:t>
        </w:r>
        <w:r w:rsidR="003B2876" w:rsidRPr="00777400">
          <w:rPr>
            <w:rStyle w:val="Hyperlink"/>
          </w:rPr>
          <w:t>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536A60" w:rsidP="003B2876">
      <w:hyperlink r:id="rId9" w:history="1">
        <w:r w:rsidR="003B2876" w:rsidRPr="009E78F6">
          <w:rPr>
            <w:rStyle w:val="Hyperlink"/>
          </w:rPr>
          <w:t>https://rstu</w:t>
        </w:r>
        <w:r w:rsidR="003B2876" w:rsidRPr="009E78F6">
          <w:rPr>
            <w:rStyle w:val="Hyperlink"/>
          </w:rPr>
          <w:t>d</w:t>
        </w:r>
        <w:r w:rsidR="003B2876" w:rsidRPr="009E78F6">
          <w:rPr>
            <w:rStyle w:val="Hyperlink"/>
          </w:rPr>
          <w:t>io-pubs-static.s3.a</w:t>
        </w:r>
        <w:r w:rsidR="003B2876" w:rsidRPr="009E78F6">
          <w:rPr>
            <w:rStyle w:val="Hyperlink"/>
          </w:rPr>
          <w:t>m</w:t>
        </w:r>
        <w:r w:rsidR="003B2876" w:rsidRPr="009E78F6">
          <w:rPr>
            <w:rStyle w:val="Hyperlink"/>
          </w:rPr>
          <w:t>azonaws.com/354672_b7cb732a2b61469390d6fc72621bc9c4.html</w:t>
        </w:r>
      </w:hyperlink>
    </w:p>
    <w:p w:rsidR="00FE2D31" w:rsidRDefault="00FE2D31" w:rsidP="00FE2D31">
      <w:r>
        <w:t>Time Series Analysis for Epidemiological Data</w:t>
      </w:r>
    </w:p>
    <w:p w:rsidR="00FE2D31" w:rsidRPr="00E72E7F" w:rsidRDefault="00FE2D31" w:rsidP="00FE2D31">
      <w:pPr>
        <w:rPr>
          <w:i/>
          <w:lang w:val="de-DE"/>
        </w:rPr>
      </w:pPr>
      <w:proofErr w:type="spellStart"/>
      <w:r w:rsidRPr="00E72E7F">
        <w:rPr>
          <w:rStyle w:val="Hervorhebung"/>
          <w:i w:val="0"/>
          <w:lang w:val="de-DE"/>
        </w:rPr>
        <w:t>Aishwarya</w:t>
      </w:r>
      <w:proofErr w:type="spellEnd"/>
      <w:r w:rsidRPr="00E72E7F">
        <w:rPr>
          <w:rStyle w:val="Hervorhebung"/>
          <w:i w:val="0"/>
          <w:lang w:val="de-DE"/>
        </w:rPr>
        <w:t xml:space="preserve"> </w:t>
      </w:r>
      <w:proofErr w:type="spellStart"/>
      <w:r w:rsidRPr="00E72E7F">
        <w:rPr>
          <w:rStyle w:val="Hervorhebung"/>
          <w:i w:val="0"/>
          <w:lang w:val="de-DE"/>
        </w:rPr>
        <w:t>Venkat</w:t>
      </w:r>
      <w:proofErr w:type="spellEnd"/>
    </w:p>
    <w:p w:rsidR="00FE2D31" w:rsidRPr="00E72E7F" w:rsidRDefault="00FE2D31" w:rsidP="00FE2D31">
      <w:pPr>
        <w:rPr>
          <w:i/>
          <w:lang w:val="de-DE"/>
        </w:rPr>
      </w:pPr>
      <w:r w:rsidRPr="00E72E7F">
        <w:rPr>
          <w:rStyle w:val="Hervorhebung"/>
          <w:i w:val="0"/>
          <w:lang w:val="de-DE"/>
        </w:rPr>
        <w:t>2018-02-01</w:t>
      </w:r>
    </w:p>
    <w:p w:rsidR="003B2876" w:rsidRPr="00FE2D31" w:rsidRDefault="00A11091" w:rsidP="0078059E">
      <w:pPr>
        <w:pStyle w:val="StandardWeb"/>
        <w:rPr>
          <w:lang w:val="de-DE"/>
        </w:rPr>
      </w:pPr>
      <w:r w:rsidRPr="00FE2D31">
        <w:rPr>
          <w:lang w:val="de-DE"/>
        </w:rPr>
        <w:t xml:space="preserve">AR und MA </w:t>
      </w:r>
    </w:p>
    <w:p w:rsidR="00A11091" w:rsidRPr="00FE2D31" w:rsidRDefault="00A11091" w:rsidP="0078059E">
      <w:pPr>
        <w:pStyle w:val="StandardWeb"/>
        <w:rPr>
          <w:lang w:val="de-DE"/>
        </w:rPr>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D381E"/>
    <w:rsid w:val="00163276"/>
    <w:rsid w:val="00181E29"/>
    <w:rsid w:val="00283CD2"/>
    <w:rsid w:val="002E7FB9"/>
    <w:rsid w:val="0038720D"/>
    <w:rsid w:val="003B2876"/>
    <w:rsid w:val="00455FB2"/>
    <w:rsid w:val="00466483"/>
    <w:rsid w:val="00472AD3"/>
    <w:rsid w:val="004A05AF"/>
    <w:rsid w:val="004A3241"/>
    <w:rsid w:val="00511191"/>
    <w:rsid w:val="00536A60"/>
    <w:rsid w:val="005B25F0"/>
    <w:rsid w:val="006A7361"/>
    <w:rsid w:val="006E4EDC"/>
    <w:rsid w:val="00767616"/>
    <w:rsid w:val="0078059E"/>
    <w:rsid w:val="007816E0"/>
    <w:rsid w:val="00786898"/>
    <w:rsid w:val="007D61D5"/>
    <w:rsid w:val="00820BB2"/>
    <w:rsid w:val="008357E3"/>
    <w:rsid w:val="00864BA9"/>
    <w:rsid w:val="00894E96"/>
    <w:rsid w:val="008A6B93"/>
    <w:rsid w:val="00912DB1"/>
    <w:rsid w:val="00964A9F"/>
    <w:rsid w:val="00A11091"/>
    <w:rsid w:val="00A317AB"/>
    <w:rsid w:val="00AC5DC1"/>
    <w:rsid w:val="00AD4164"/>
    <w:rsid w:val="00B7180C"/>
    <w:rsid w:val="00BD1AA1"/>
    <w:rsid w:val="00BE5290"/>
    <w:rsid w:val="00C52E13"/>
    <w:rsid w:val="00C84240"/>
    <w:rsid w:val="00C8665F"/>
    <w:rsid w:val="00C90B95"/>
    <w:rsid w:val="00CA6215"/>
    <w:rsid w:val="00D65328"/>
    <w:rsid w:val="00D8055C"/>
    <w:rsid w:val="00D96C55"/>
    <w:rsid w:val="00E72E7F"/>
    <w:rsid w:val="00E84A1E"/>
    <w:rsid w:val="00EC4404"/>
    <w:rsid w:val="00EF23D4"/>
    <w:rsid w:val="00F87422"/>
    <w:rsid w:val="00FA7F51"/>
    <w:rsid w:val="00FE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39E23-5548-479E-B2FE-BB8FEE3E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35</cp:revision>
  <dcterms:created xsi:type="dcterms:W3CDTF">2023-07-12T19:40:00Z</dcterms:created>
  <dcterms:modified xsi:type="dcterms:W3CDTF">2023-07-13T21:13:00Z</dcterms:modified>
</cp:coreProperties>
</file>