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FB529" w14:textId="31726C8C" w:rsidR="008722C6" w:rsidRPr="008722C6" w:rsidRDefault="008722C6" w:rsidP="008722C6">
      <w:pPr>
        <w:spacing w:after="0"/>
        <w:jc w:val="both"/>
        <w:rPr>
          <w:rFonts w:ascii="Calibri" w:hAnsi="Calibri" w:cs="Calibri"/>
          <w:b/>
          <w:bCs/>
        </w:rPr>
      </w:pPr>
      <w:r w:rsidRPr="008722C6">
        <w:rPr>
          <w:rFonts w:ascii="Calibri" w:hAnsi="Calibri" w:cs="Calibri"/>
          <w:b/>
          <w:bCs/>
        </w:rPr>
        <w:t xml:space="preserve"> Insight </w:t>
      </w:r>
    </w:p>
    <w:p w14:paraId="583545F9" w14:textId="19B91049" w:rsidR="008722C6" w:rsidRPr="008722C6" w:rsidRDefault="005920A3" w:rsidP="008722C6">
      <w:pPr>
        <w:spacing w:after="0"/>
        <w:jc w:val="both"/>
        <w:rPr>
          <w:rFonts w:ascii="Calibri" w:hAnsi="Calibri" w:cs="Calibri"/>
          <w:b/>
          <w:bCs/>
        </w:rPr>
      </w:pPr>
      <w:r>
        <w:rPr>
          <w:noProof/>
        </w:rPr>
        <w:drawing>
          <wp:inline distT="0" distB="0" distL="0" distR="0" wp14:anchorId="1EDF74BF" wp14:editId="3D2D73EF">
            <wp:extent cx="5943600" cy="4180840"/>
            <wp:effectExtent l="0" t="0" r="0" b="0"/>
            <wp:docPr id="2002291649" name="Picture 1" descr="A diagram of a distribution of daily retur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91649" name="Picture 1" descr="A diagram of a distribution of daily return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180840"/>
                    </a:xfrm>
                    <a:prstGeom prst="rect">
                      <a:avLst/>
                    </a:prstGeom>
                    <a:noFill/>
                    <a:ln>
                      <a:noFill/>
                    </a:ln>
                  </pic:spPr>
                </pic:pic>
              </a:graphicData>
            </a:graphic>
          </wp:inline>
        </w:drawing>
      </w:r>
    </w:p>
    <w:p w14:paraId="74446E3F" w14:textId="77777777" w:rsidR="008722C6" w:rsidRPr="008722C6" w:rsidRDefault="008722C6" w:rsidP="008722C6">
      <w:pPr>
        <w:spacing w:after="0"/>
        <w:jc w:val="both"/>
        <w:rPr>
          <w:rFonts w:ascii="Calibri" w:hAnsi="Calibri" w:cs="Calibri"/>
          <w:b/>
          <w:bCs/>
        </w:rPr>
      </w:pPr>
      <w:r w:rsidRPr="008722C6">
        <w:rPr>
          <w:rFonts w:ascii="Calibri" w:hAnsi="Calibri" w:cs="Calibri"/>
          <w:b/>
          <w:bCs/>
        </w:rPr>
        <w:t xml:space="preserve"> Interpretation of Summary Table</w:t>
      </w:r>
    </w:p>
    <w:p w14:paraId="6D27D828" w14:textId="149F64B6" w:rsidR="008722C6" w:rsidRPr="008722C6" w:rsidRDefault="008722C6" w:rsidP="008722C6">
      <w:pPr>
        <w:pStyle w:val="ListParagraph"/>
        <w:numPr>
          <w:ilvl w:val="0"/>
          <w:numId w:val="1"/>
        </w:numPr>
        <w:spacing w:after="0"/>
        <w:jc w:val="both"/>
        <w:rPr>
          <w:rFonts w:ascii="Calibri" w:hAnsi="Calibri" w:cs="Calibri"/>
          <w:b/>
          <w:bCs/>
        </w:rPr>
      </w:pPr>
      <w:r w:rsidRPr="008722C6">
        <w:rPr>
          <w:rFonts w:ascii="Calibri" w:hAnsi="Calibri" w:cs="Calibri"/>
        </w:rPr>
        <w:t>Top Performers (Higher Mean Return):</w:t>
      </w:r>
    </w:p>
    <w:p w14:paraId="2C9C595D" w14:textId="77777777" w:rsidR="008722C6" w:rsidRPr="008722C6" w:rsidRDefault="008722C6" w:rsidP="008722C6">
      <w:pPr>
        <w:spacing w:after="0"/>
        <w:jc w:val="both"/>
        <w:rPr>
          <w:rFonts w:ascii="Calibri" w:hAnsi="Calibri" w:cs="Calibri"/>
        </w:rPr>
      </w:pPr>
      <w:r w:rsidRPr="008722C6">
        <w:rPr>
          <w:rFonts w:ascii="Calibri" w:hAnsi="Calibri" w:cs="Calibri"/>
        </w:rPr>
        <w:t>STK001 (0.0018) and STK014 (0.0015) show the strongest average daily gains (~0.18% and ~0.15% respectively).</w:t>
      </w:r>
    </w:p>
    <w:p w14:paraId="051D0EBE" w14:textId="77777777" w:rsidR="008722C6" w:rsidRPr="008722C6" w:rsidRDefault="008722C6" w:rsidP="008722C6">
      <w:pPr>
        <w:spacing w:after="0"/>
        <w:jc w:val="both"/>
        <w:rPr>
          <w:rFonts w:ascii="Calibri" w:hAnsi="Calibri" w:cs="Calibri"/>
        </w:rPr>
      </w:pPr>
      <w:r w:rsidRPr="008722C6">
        <w:rPr>
          <w:rFonts w:ascii="Calibri" w:hAnsi="Calibri" w:cs="Calibri"/>
        </w:rPr>
        <w:t>These stocks may be in stronger uptrends over time.</w:t>
      </w:r>
    </w:p>
    <w:p w14:paraId="46CB4D37" w14:textId="77777777" w:rsidR="008722C6" w:rsidRPr="008722C6" w:rsidRDefault="008722C6" w:rsidP="008722C6">
      <w:pPr>
        <w:spacing w:after="0"/>
        <w:jc w:val="both"/>
        <w:rPr>
          <w:rFonts w:ascii="Calibri" w:hAnsi="Calibri" w:cs="Calibri"/>
        </w:rPr>
      </w:pPr>
    </w:p>
    <w:p w14:paraId="005E07AF" w14:textId="43C4F5B4" w:rsidR="008722C6" w:rsidRPr="008722C6" w:rsidRDefault="008722C6" w:rsidP="008722C6">
      <w:pPr>
        <w:pStyle w:val="ListParagraph"/>
        <w:numPr>
          <w:ilvl w:val="0"/>
          <w:numId w:val="1"/>
        </w:numPr>
        <w:spacing w:after="0"/>
        <w:jc w:val="both"/>
        <w:rPr>
          <w:rFonts w:ascii="Calibri" w:hAnsi="Calibri" w:cs="Calibri"/>
        </w:rPr>
      </w:pPr>
      <w:r w:rsidRPr="008722C6">
        <w:rPr>
          <w:rFonts w:ascii="Calibri" w:hAnsi="Calibri" w:cs="Calibri"/>
        </w:rPr>
        <w:t>Underperformers (Negative Mean Return):</w:t>
      </w:r>
    </w:p>
    <w:p w14:paraId="325969BD" w14:textId="77777777" w:rsidR="008722C6" w:rsidRPr="008722C6" w:rsidRDefault="008722C6" w:rsidP="008722C6">
      <w:pPr>
        <w:spacing w:after="0"/>
        <w:jc w:val="both"/>
        <w:rPr>
          <w:rFonts w:ascii="Calibri" w:hAnsi="Calibri" w:cs="Calibri"/>
        </w:rPr>
      </w:pPr>
      <w:r w:rsidRPr="008722C6">
        <w:rPr>
          <w:rFonts w:ascii="Calibri" w:hAnsi="Calibri" w:cs="Calibri"/>
        </w:rPr>
        <w:t>STK002 (-0.0004), STK007 (-0.0002), STK016 (-0.0001), and STK019 (-0.0008) have slightly negative means — indicating small daily declines on average.</w:t>
      </w:r>
    </w:p>
    <w:p w14:paraId="2B3A5519" w14:textId="77777777" w:rsidR="008722C6" w:rsidRPr="008722C6" w:rsidRDefault="008722C6" w:rsidP="008722C6">
      <w:pPr>
        <w:spacing w:after="0"/>
        <w:jc w:val="both"/>
        <w:rPr>
          <w:rFonts w:ascii="Calibri" w:hAnsi="Calibri" w:cs="Calibri"/>
        </w:rPr>
      </w:pPr>
    </w:p>
    <w:p w14:paraId="77DF7559" w14:textId="4C3775A8" w:rsidR="008722C6" w:rsidRPr="008722C6" w:rsidRDefault="008722C6" w:rsidP="008722C6">
      <w:pPr>
        <w:pStyle w:val="ListParagraph"/>
        <w:numPr>
          <w:ilvl w:val="0"/>
          <w:numId w:val="1"/>
        </w:numPr>
        <w:spacing w:after="0"/>
        <w:jc w:val="both"/>
        <w:rPr>
          <w:rFonts w:ascii="Calibri" w:hAnsi="Calibri" w:cs="Calibri"/>
        </w:rPr>
      </w:pPr>
      <w:r w:rsidRPr="008722C6">
        <w:rPr>
          <w:rFonts w:ascii="Calibri" w:hAnsi="Calibri" w:cs="Calibri"/>
        </w:rPr>
        <w:t>Volatility Insights:</w:t>
      </w:r>
    </w:p>
    <w:p w14:paraId="52A5CC4B" w14:textId="77777777" w:rsidR="008722C6" w:rsidRPr="008722C6" w:rsidRDefault="008722C6" w:rsidP="008722C6">
      <w:pPr>
        <w:spacing w:after="0"/>
        <w:jc w:val="both"/>
        <w:rPr>
          <w:rFonts w:ascii="Calibri" w:hAnsi="Calibri" w:cs="Calibri"/>
        </w:rPr>
      </w:pPr>
      <w:r w:rsidRPr="008722C6">
        <w:rPr>
          <w:rFonts w:ascii="Calibri" w:hAnsi="Calibri" w:cs="Calibri"/>
        </w:rPr>
        <w:t>The most volatile stocks are STK017–STK020 (std ≈ 0.03) — they experience the largest daily swings.</w:t>
      </w:r>
    </w:p>
    <w:p w14:paraId="3D9B47EA" w14:textId="77777777" w:rsidR="008722C6" w:rsidRPr="008722C6" w:rsidRDefault="008722C6" w:rsidP="008722C6">
      <w:pPr>
        <w:spacing w:after="0"/>
        <w:jc w:val="both"/>
        <w:rPr>
          <w:rFonts w:ascii="Calibri" w:hAnsi="Calibri" w:cs="Calibri"/>
        </w:rPr>
      </w:pPr>
      <w:r w:rsidRPr="008722C6">
        <w:rPr>
          <w:rFonts w:ascii="Calibri" w:hAnsi="Calibri" w:cs="Calibri"/>
        </w:rPr>
        <w:t>The most stable are STK013–STK016 (std ≈ 0.018–0.019) — they show smaller, steadier changes.</w:t>
      </w:r>
    </w:p>
    <w:p w14:paraId="0922C0B7" w14:textId="77777777" w:rsidR="008722C6" w:rsidRPr="008722C6" w:rsidRDefault="008722C6" w:rsidP="008722C6">
      <w:pPr>
        <w:spacing w:after="0"/>
        <w:jc w:val="both"/>
        <w:rPr>
          <w:rFonts w:ascii="Calibri" w:hAnsi="Calibri" w:cs="Calibri"/>
        </w:rPr>
      </w:pPr>
    </w:p>
    <w:p w14:paraId="1547E4C1" w14:textId="77777777" w:rsidR="008722C6" w:rsidRPr="008722C6" w:rsidRDefault="008722C6" w:rsidP="008722C6">
      <w:pPr>
        <w:spacing w:after="0"/>
        <w:jc w:val="both"/>
        <w:rPr>
          <w:rFonts w:ascii="Calibri" w:hAnsi="Calibri" w:cs="Calibri"/>
        </w:rPr>
      </w:pPr>
      <w:r w:rsidRPr="008722C6">
        <w:rPr>
          <w:rFonts w:ascii="Calibri" w:hAnsi="Calibri" w:cs="Calibri"/>
        </w:rPr>
        <w:t>Typical Returns (Median):</w:t>
      </w:r>
    </w:p>
    <w:p w14:paraId="021F8367" w14:textId="77777777" w:rsidR="008722C6" w:rsidRPr="008722C6" w:rsidRDefault="008722C6" w:rsidP="008722C6">
      <w:pPr>
        <w:spacing w:after="0"/>
        <w:jc w:val="both"/>
        <w:rPr>
          <w:rFonts w:ascii="Calibri" w:hAnsi="Calibri" w:cs="Calibri"/>
        </w:rPr>
      </w:pPr>
      <w:r w:rsidRPr="008722C6">
        <w:rPr>
          <w:rFonts w:ascii="Calibri" w:hAnsi="Calibri" w:cs="Calibri"/>
        </w:rPr>
        <w:lastRenderedPageBreak/>
        <w:t>Most medians are ≈ 0.0000–0.0010, meaning many stocks have flat or small positive daily movements — normal for liquid, stable assets.</w:t>
      </w:r>
    </w:p>
    <w:p w14:paraId="20D9786B" w14:textId="77777777" w:rsidR="008722C6" w:rsidRPr="008722C6" w:rsidRDefault="008722C6" w:rsidP="008722C6">
      <w:pPr>
        <w:spacing w:after="0"/>
        <w:jc w:val="both"/>
        <w:rPr>
          <w:rFonts w:ascii="Calibri" w:hAnsi="Calibri" w:cs="Calibri"/>
          <w:b/>
          <w:bCs/>
        </w:rPr>
      </w:pPr>
    </w:p>
    <w:p w14:paraId="0473A757" w14:textId="51B17B71" w:rsidR="008722C6" w:rsidRPr="008722C6" w:rsidRDefault="008722C6" w:rsidP="008722C6">
      <w:pPr>
        <w:spacing w:after="0"/>
        <w:jc w:val="both"/>
        <w:rPr>
          <w:rFonts w:ascii="Calibri" w:hAnsi="Calibri" w:cs="Calibri"/>
        </w:rPr>
      </w:pPr>
      <w:r w:rsidRPr="008722C6">
        <w:rPr>
          <w:rFonts w:ascii="Calibri" w:hAnsi="Calibri" w:cs="Calibri"/>
        </w:rPr>
        <w:t>Most stocks show modest average daily gains (0.05–0.15%) and low-to-moderate volatility (std 0.02–0.03).</w:t>
      </w:r>
    </w:p>
    <w:p w14:paraId="75EB85A8" w14:textId="63E76921" w:rsidR="008722C6" w:rsidRPr="008722C6" w:rsidRDefault="008722C6" w:rsidP="008722C6">
      <w:pPr>
        <w:spacing w:after="0"/>
        <w:jc w:val="both"/>
        <w:rPr>
          <w:rFonts w:ascii="Calibri" w:hAnsi="Calibri" w:cs="Calibri"/>
        </w:rPr>
      </w:pPr>
      <w:r w:rsidRPr="008722C6">
        <w:rPr>
          <w:rFonts w:ascii="Calibri" w:hAnsi="Calibri" w:cs="Calibri"/>
        </w:rPr>
        <w:t>A few (like STK017–STK020) are more volatile, while STK001 and STK014 stand out as consistent gainers.</w:t>
      </w:r>
    </w:p>
    <w:p w14:paraId="38C9093F" w14:textId="77777777" w:rsidR="008722C6" w:rsidRPr="008722C6" w:rsidRDefault="008722C6" w:rsidP="008722C6">
      <w:pPr>
        <w:spacing w:after="0"/>
        <w:jc w:val="both"/>
        <w:rPr>
          <w:rFonts w:ascii="Calibri" w:hAnsi="Calibri" w:cs="Calibri"/>
          <w:b/>
          <w:bCs/>
        </w:rPr>
      </w:pPr>
    </w:p>
    <w:p w14:paraId="54066A15" w14:textId="3AC2FCB6" w:rsidR="008722C6" w:rsidRPr="008722C6" w:rsidRDefault="008722C6" w:rsidP="008722C6">
      <w:pPr>
        <w:spacing w:after="0"/>
        <w:jc w:val="both"/>
        <w:rPr>
          <w:rFonts w:ascii="Calibri" w:hAnsi="Calibri" w:cs="Calibri"/>
          <w:b/>
          <w:bCs/>
        </w:rPr>
      </w:pPr>
      <w:r w:rsidRPr="008722C6">
        <w:rPr>
          <w:rFonts w:ascii="Calibri" w:hAnsi="Calibri" w:cs="Calibri"/>
          <w:b/>
          <w:bCs/>
        </w:rPr>
        <w:t xml:space="preserve">Volatility </w:t>
      </w:r>
    </w:p>
    <w:p w14:paraId="7895716E" w14:textId="506BC6AB" w:rsidR="008722C6" w:rsidRPr="008722C6" w:rsidRDefault="008722C6" w:rsidP="008722C6">
      <w:pPr>
        <w:spacing w:after="0"/>
        <w:jc w:val="both"/>
        <w:rPr>
          <w:rFonts w:ascii="Calibri" w:hAnsi="Calibri" w:cs="Calibri"/>
          <w:b/>
          <w:bCs/>
        </w:rPr>
      </w:pPr>
      <w:r w:rsidRPr="008722C6">
        <w:rPr>
          <w:rFonts w:ascii="Calibri" w:hAnsi="Calibri" w:cs="Calibri"/>
        </w:rPr>
        <w:t xml:space="preserve">Analysis of sector performance shows that the Finance and Consumer sectors achieved the highest average returns, indicating strong and consistent growth. The Consumer sector also recorded the lowest volatility, suggesting lower investment risk. In contrast, the Energy sector exhibited the highest volatility and the lowest average return, reflecting its sensitivity to market and commodity price fluctuations. Technology and Healthcare sectors maintained moderate returns with manageable risk levels, with </w:t>
      </w:r>
      <w:proofErr w:type="gramStart"/>
      <w:r w:rsidRPr="008722C6">
        <w:rPr>
          <w:rFonts w:ascii="Calibri" w:hAnsi="Calibri" w:cs="Calibri"/>
        </w:rPr>
        <w:t>Healthcare</w:t>
      </w:r>
      <w:proofErr w:type="gramEnd"/>
      <w:r w:rsidRPr="008722C6">
        <w:rPr>
          <w:rFonts w:ascii="Calibri" w:hAnsi="Calibri" w:cs="Calibri"/>
        </w:rPr>
        <w:t xml:space="preserve"> standing out for its relative stability, typical of defensive industries. Overall, Finance and Consumer sectors offered the best balance between risk and reward during the analysis period. From the boxplot visual, we can see that Energy sector has a wider box which indicate volatility.</w:t>
      </w:r>
    </w:p>
    <w:p w14:paraId="09B7C439" w14:textId="77777777" w:rsidR="008722C6" w:rsidRPr="008722C6" w:rsidRDefault="008722C6" w:rsidP="008722C6">
      <w:pPr>
        <w:spacing w:after="0"/>
        <w:jc w:val="both"/>
        <w:rPr>
          <w:rFonts w:ascii="Calibri" w:hAnsi="Calibri" w:cs="Calibri"/>
          <w:b/>
          <w:bCs/>
        </w:rPr>
      </w:pPr>
    </w:p>
    <w:p w14:paraId="2CC1991C" w14:textId="215F1041" w:rsidR="008722C6" w:rsidRPr="008722C6" w:rsidRDefault="008722C6" w:rsidP="008722C6">
      <w:pPr>
        <w:spacing w:after="0"/>
        <w:jc w:val="both"/>
        <w:rPr>
          <w:rFonts w:ascii="Calibri" w:hAnsi="Calibri" w:cs="Calibri"/>
          <w:b/>
          <w:bCs/>
        </w:rPr>
      </w:pPr>
      <w:r w:rsidRPr="008722C6">
        <w:rPr>
          <w:rFonts w:ascii="Calibri" w:hAnsi="Calibri" w:cs="Calibri"/>
          <w:b/>
          <w:bCs/>
        </w:rPr>
        <w:t>Volume Analysis</w:t>
      </w:r>
    </w:p>
    <w:p w14:paraId="237D756B" w14:textId="4E6C5339" w:rsidR="008722C6" w:rsidRDefault="008722C6" w:rsidP="008722C6">
      <w:pPr>
        <w:spacing w:after="0"/>
        <w:jc w:val="both"/>
        <w:rPr>
          <w:rFonts w:ascii="Calibri" w:hAnsi="Calibri" w:cs="Calibri"/>
        </w:rPr>
      </w:pPr>
      <w:r w:rsidRPr="008722C6">
        <w:rPr>
          <w:rFonts w:ascii="Calibri" w:hAnsi="Calibri" w:cs="Calibri"/>
        </w:rPr>
        <w:t>Across all tickers, the correlation between trading volume and daily returns remains weak, ranging from –0.06 to +0.06. This suggests that trading volume does not systematically predict price direction in the observed period. While a few stocks show slightly positive or negative tendencies, these relationships are too small to be meaningful. Therefore, price movements in this dataset appear largely independent of volume fluctuations.</w:t>
      </w:r>
    </w:p>
    <w:p w14:paraId="2612DFB4" w14:textId="77777777" w:rsidR="00AB4D2D" w:rsidRDefault="00AB4D2D" w:rsidP="008722C6">
      <w:pPr>
        <w:spacing w:after="0"/>
        <w:jc w:val="both"/>
        <w:rPr>
          <w:rFonts w:ascii="Calibri" w:hAnsi="Calibri" w:cs="Calibri"/>
        </w:rPr>
      </w:pPr>
    </w:p>
    <w:p w14:paraId="54A360FA" w14:textId="1ACC359B" w:rsidR="00AB4D2D" w:rsidRPr="00AB4D2D" w:rsidRDefault="00AB4D2D" w:rsidP="008722C6">
      <w:pPr>
        <w:spacing w:after="0"/>
        <w:jc w:val="both"/>
        <w:rPr>
          <w:rFonts w:ascii="Calibri" w:hAnsi="Calibri" w:cs="Calibri"/>
          <w:b/>
          <w:bCs/>
        </w:rPr>
      </w:pPr>
      <w:r w:rsidRPr="00AB4D2D">
        <w:rPr>
          <w:rFonts w:ascii="Calibri" w:hAnsi="Calibri" w:cs="Calibri"/>
          <w:b/>
          <w:bCs/>
        </w:rPr>
        <w:t xml:space="preserve">Technical Indicators Insight </w:t>
      </w:r>
    </w:p>
    <w:p w14:paraId="5DB9B7D1" w14:textId="77777777" w:rsidR="00AB4D2D" w:rsidRPr="00AB4D2D" w:rsidRDefault="00AB4D2D" w:rsidP="00AB4D2D">
      <w:pPr>
        <w:spacing w:after="0"/>
        <w:jc w:val="both"/>
        <w:rPr>
          <w:rFonts w:ascii="Calibri" w:hAnsi="Calibri" w:cs="Calibri"/>
        </w:rPr>
      </w:pPr>
      <w:r w:rsidRPr="00AB4D2D">
        <w:rPr>
          <w:rFonts w:ascii="Calibri" w:hAnsi="Calibri" w:cs="Calibri"/>
        </w:rPr>
        <w:t>Price touching or exceeding the upper band indicate overbought conditions while crossing below the lower band suggests oversold levels.</w:t>
      </w:r>
    </w:p>
    <w:p w14:paraId="38CDB00F" w14:textId="77777777" w:rsidR="00AB4D2D" w:rsidRPr="00AB4D2D" w:rsidRDefault="00AB4D2D" w:rsidP="00AB4D2D">
      <w:pPr>
        <w:spacing w:after="0"/>
        <w:jc w:val="both"/>
        <w:rPr>
          <w:rFonts w:ascii="Calibri" w:hAnsi="Calibri" w:cs="Calibri"/>
        </w:rPr>
      </w:pPr>
    </w:p>
    <w:p w14:paraId="13230BD6" w14:textId="5E822C4D" w:rsidR="00AB4D2D" w:rsidRDefault="00AB4D2D" w:rsidP="00AB4D2D">
      <w:pPr>
        <w:spacing w:after="0"/>
        <w:jc w:val="both"/>
        <w:rPr>
          <w:rFonts w:ascii="Calibri" w:hAnsi="Calibri" w:cs="Calibri"/>
        </w:rPr>
      </w:pPr>
      <w:r w:rsidRPr="00AB4D2D">
        <w:rPr>
          <w:rFonts w:ascii="Calibri" w:hAnsi="Calibri" w:cs="Calibri"/>
        </w:rPr>
        <w:t xml:space="preserve">The </w:t>
      </w:r>
      <w:proofErr w:type="gramStart"/>
      <w:r w:rsidRPr="00AB4D2D">
        <w:rPr>
          <w:rFonts w:ascii="Calibri" w:hAnsi="Calibri" w:cs="Calibri"/>
        </w:rPr>
        <w:t>RSI(</w:t>
      </w:r>
      <w:proofErr w:type="gramEnd"/>
      <w:r w:rsidRPr="00AB4D2D">
        <w:rPr>
          <w:rFonts w:ascii="Calibri" w:hAnsi="Calibri" w:cs="Calibri"/>
        </w:rPr>
        <w:t>14) plot for the selected stock shows several peaks above 70, indicating overbought conditions followed by short-term price corrections. Occasional dips below 30 suggest oversold periods where the stock may have been undervalued before rebounding. Overall, the RSI pattern highlights alternating phases of buying and selling pressure, consistent with cyclical market behavior.</w:t>
      </w:r>
    </w:p>
    <w:p w14:paraId="37198154" w14:textId="77777777" w:rsidR="00AB4D2D" w:rsidRDefault="00AB4D2D" w:rsidP="00AB4D2D">
      <w:pPr>
        <w:spacing w:after="0"/>
        <w:jc w:val="both"/>
        <w:rPr>
          <w:rFonts w:ascii="Calibri" w:hAnsi="Calibri" w:cs="Calibri"/>
        </w:rPr>
      </w:pPr>
    </w:p>
    <w:p w14:paraId="3377ADFE" w14:textId="1512CC27" w:rsidR="00AB4D2D" w:rsidRDefault="00AB4D2D" w:rsidP="00AB4D2D">
      <w:pPr>
        <w:spacing w:after="0"/>
        <w:jc w:val="both"/>
        <w:rPr>
          <w:rFonts w:ascii="Calibri" w:hAnsi="Calibri" w:cs="Calibri"/>
          <w:b/>
          <w:bCs/>
        </w:rPr>
      </w:pPr>
      <w:r w:rsidRPr="00AB4D2D">
        <w:rPr>
          <w:rFonts w:ascii="Calibri" w:hAnsi="Calibri" w:cs="Calibri"/>
          <w:b/>
          <w:bCs/>
        </w:rPr>
        <w:t>Correlation Summary of Technical Features</w:t>
      </w:r>
    </w:p>
    <w:p w14:paraId="566A0C9A" w14:textId="4CDD188F" w:rsidR="00AB4D2D" w:rsidRPr="00AB4D2D" w:rsidRDefault="00AB4D2D" w:rsidP="00AB4D2D">
      <w:pPr>
        <w:spacing w:after="0"/>
        <w:jc w:val="both"/>
        <w:rPr>
          <w:rFonts w:ascii="Calibri" w:hAnsi="Calibri" w:cs="Calibri"/>
          <w:b/>
          <w:bCs/>
        </w:rPr>
      </w:pPr>
      <w:r>
        <w:rPr>
          <w:noProof/>
        </w:rPr>
        <w:lastRenderedPageBreak/>
        <w:drawing>
          <wp:inline distT="0" distB="0" distL="0" distR="0" wp14:anchorId="5903FC0A" wp14:editId="19ED643E">
            <wp:extent cx="5943600" cy="4656777"/>
            <wp:effectExtent l="0" t="0" r="0" b="0"/>
            <wp:docPr id="3" name="Picture 2" descr="A colorful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olorful squares with black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656777"/>
                    </a:xfrm>
                    <a:prstGeom prst="rect">
                      <a:avLst/>
                    </a:prstGeom>
                    <a:noFill/>
                    <a:ln>
                      <a:noFill/>
                    </a:ln>
                  </pic:spPr>
                </pic:pic>
              </a:graphicData>
            </a:graphic>
          </wp:inline>
        </w:drawing>
      </w:r>
    </w:p>
    <w:p w14:paraId="5DAF12BD" w14:textId="77777777" w:rsidR="00AB4D2D" w:rsidRPr="00AB4D2D" w:rsidRDefault="00AB4D2D" w:rsidP="00AB4D2D">
      <w:pPr>
        <w:spacing w:after="0"/>
        <w:jc w:val="both"/>
        <w:rPr>
          <w:rFonts w:ascii="Calibri" w:hAnsi="Calibri" w:cs="Calibri"/>
        </w:rPr>
      </w:pPr>
      <w:r w:rsidRPr="00AB4D2D">
        <w:rPr>
          <w:rFonts w:ascii="Calibri" w:hAnsi="Calibri" w:cs="Calibri"/>
        </w:rPr>
        <w:t>Price and Moving Averages:</w:t>
      </w:r>
    </w:p>
    <w:p w14:paraId="206EBB86" w14:textId="77777777" w:rsidR="00AB4D2D" w:rsidRPr="00AB4D2D" w:rsidRDefault="00AB4D2D" w:rsidP="00AB4D2D">
      <w:pPr>
        <w:spacing w:after="0"/>
        <w:jc w:val="both"/>
        <w:rPr>
          <w:rFonts w:ascii="Calibri" w:hAnsi="Calibri" w:cs="Calibri"/>
        </w:rPr>
      </w:pPr>
      <w:r w:rsidRPr="00AB4D2D">
        <w:rPr>
          <w:rFonts w:ascii="Calibri" w:hAnsi="Calibri" w:cs="Calibri"/>
        </w:rPr>
        <w:t>close, sma_20, and sma_50 are very highly correlated (&gt;0.97), indicating they move together closely.</w:t>
      </w:r>
    </w:p>
    <w:p w14:paraId="531CB582" w14:textId="77777777" w:rsidR="00AB4D2D" w:rsidRPr="00AB4D2D" w:rsidRDefault="00AB4D2D" w:rsidP="00AB4D2D">
      <w:pPr>
        <w:spacing w:after="0"/>
        <w:jc w:val="both"/>
        <w:rPr>
          <w:rFonts w:ascii="Calibri" w:hAnsi="Calibri" w:cs="Calibri"/>
        </w:rPr>
      </w:pPr>
      <w:r w:rsidRPr="00AB4D2D">
        <w:rPr>
          <w:rFonts w:ascii="Calibri" w:hAnsi="Calibri" w:cs="Calibri"/>
        </w:rPr>
        <w:t xml:space="preserve">price_to_sma_50 has moderate correlation with rsi_14 (0.76) and </w:t>
      </w:r>
      <w:proofErr w:type="spellStart"/>
      <w:r w:rsidRPr="00AB4D2D">
        <w:rPr>
          <w:rFonts w:ascii="Calibri" w:hAnsi="Calibri" w:cs="Calibri"/>
        </w:rPr>
        <w:t>macd</w:t>
      </w:r>
      <w:proofErr w:type="spellEnd"/>
      <w:r w:rsidRPr="00AB4D2D">
        <w:rPr>
          <w:rFonts w:ascii="Calibri" w:hAnsi="Calibri" w:cs="Calibri"/>
        </w:rPr>
        <w:t xml:space="preserve"> (0.83), reflecting its relation to momentum indicators.</w:t>
      </w:r>
    </w:p>
    <w:p w14:paraId="0F6C0E0D" w14:textId="77777777" w:rsidR="00AB4D2D" w:rsidRPr="00AB4D2D" w:rsidRDefault="00AB4D2D" w:rsidP="00AB4D2D">
      <w:pPr>
        <w:spacing w:after="0"/>
        <w:jc w:val="both"/>
        <w:rPr>
          <w:rFonts w:ascii="Calibri" w:hAnsi="Calibri" w:cs="Calibri"/>
        </w:rPr>
      </w:pPr>
    </w:p>
    <w:p w14:paraId="3F63C9B0" w14:textId="77777777" w:rsidR="00AB4D2D" w:rsidRPr="00AB4D2D" w:rsidRDefault="00AB4D2D" w:rsidP="00AB4D2D">
      <w:pPr>
        <w:spacing w:after="0"/>
        <w:jc w:val="both"/>
        <w:rPr>
          <w:rFonts w:ascii="Calibri" w:hAnsi="Calibri" w:cs="Calibri"/>
        </w:rPr>
      </w:pPr>
      <w:r w:rsidRPr="00AB4D2D">
        <w:rPr>
          <w:rFonts w:ascii="Calibri" w:hAnsi="Calibri" w:cs="Calibri"/>
        </w:rPr>
        <w:t>Momentum Indicators:</w:t>
      </w:r>
    </w:p>
    <w:p w14:paraId="723D2AEB" w14:textId="77777777" w:rsidR="00AB4D2D" w:rsidRPr="00AB4D2D" w:rsidRDefault="00AB4D2D" w:rsidP="00AB4D2D">
      <w:pPr>
        <w:spacing w:after="0"/>
        <w:jc w:val="both"/>
        <w:rPr>
          <w:rFonts w:ascii="Calibri" w:hAnsi="Calibri" w:cs="Calibri"/>
        </w:rPr>
      </w:pPr>
      <w:r w:rsidRPr="00AB4D2D">
        <w:rPr>
          <w:rFonts w:ascii="Calibri" w:hAnsi="Calibri" w:cs="Calibri"/>
        </w:rPr>
        <w:t>rsi_14 and momentum_10/20 show strong positive correlation (~0.80), confirming they capture similar price strength signals.</w:t>
      </w:r>
    </w:p>
    <w:p w14:paraId="2FA46C3D" w14:textId="77777777" w:rsidR="00AB4D2D" w:rsidRPr="00AB4D2D" w:rsidRDefault="00AB4D2D" w:rsidP="00AB4D2D">
      <w:pPr>
        <w:spacing w:after="0"/>
        <w:jc w:val="both"/>
        <w:rPr>
          <w:rFonts w:ascii="Calibri" w:hAnsi="Calibri" w:cs="Calibri"/>
        </w:rPr>
      </w:pPr>
      <w:proofErr w:type="spellStart"/>
      <w:r w:rsidRPr="00AB4D2D">
        <w:rPr>
          <w:rFonts w:ascii="Calibri" w:hAnsi="Calibri" w:cs="Calibri"/>
        </w:rPr>
        <w:t>macd</w:t>
      </w:r>
      <w:proofErr w:type="spellEnd"/>
      <w:r w:rsidRPr="00AB4D2D">
        <w:rPr>
          <w:rFonts w:ascii="Calibri" w:hAnsi="Calibri" w:cs="Calibri"/>
        </w:rPr>
        <w:t xml:space="preserve"> and </w:t>
      </w:r>
      <w:proofErr w:type="spellStart"/>
      <w:r w:rsidRPr="00AB4D2D">
        <w:rPr>
          <w:rFonts w:ascii="Calibri" w:hAnsi="Calibri" w:cs="Calibri"/>
        </w:rPr>
        <w:t>macd_signal</w:t>
      </w:r>
      <w:proofErr w:type="spellEnd"/>
      <w:r w:rsidRPr="00AB4D2D">
        <w:rPr>
          <w:rFonts w:ascii="Calibri" w:hAnsi="Calibri" w:cs="Calibri"/>
        </w:rPr>
        <w:t xml:space="preserve"> are extremely correlated (0.96), as expected from the MACD calculation.</w:t>
      </w:r>
    </w:p>
    <w:p w14:paraId="51D9252B" w14:textId="77777777" w:rsidR="00AB4D2D" w:rsidRPr="00AB4D2D" w:rsidRDefault="00AB4D2D" w:rsidP="00AB4D2D">
      <w:pPr>
        <w:spacing w:after="0"/>
        <w:jc w:val="both"/>
        <w:rPr>
          <w:rFonts w:ascii="Calibri" w:hAnsi="Calibri" w:cs="Calibri"/>
        </w:rPr>
      </w:pPr>
    </w:p>
    <w:p w14:paraId="1273C7A1" w14:textId="77777777" w:rsidR="00AB4D2D" w:rsidRPr="00AB4D2D" w:rsidRDefault="00AB4D2D" w:rsidP="00AB4D2D">
      <w:pPr>
        <w:spacing w:after="0"/>
        <w:jc w:val="both"/>
        <w:rPr>
          <w:rFonts w:ascii="Calibri" w:hAnsi="Calibri" w:cs="Calibri"/>
        </w:rPr>
      </w:pPr>
      <w:r w:rsidRPr="00AB4D2D">
        <w:rPr>
          <w:rFonts w:ascii="Calibri" w:hAnsi="Calibri" w:cs="Calibri"/>
        </w:rPr>
        <w:t>Volatility Measures:</w:t>
      </w:r>
    </w:p>
    <w:p w14:paraId="7EBE1944" w14:textId="77777777" w:rsidR="00AB4D2D" w:rsidRPr="00AB4D2D" w:rsidRDefault="00AB4D2D" w:rsidP="00AB4D2D">
      <w:pPr>
        <w:spacing w:after="0"/>
        <w:jc w:val="both"/>
        <w:rPr>
          <w:rFonts w:ascii="Calibri" w:hAnsi="Calibri" w:cs="Calibri"/>
        </w:rPr>
      </w:pPr>
      <w:r w:rsidRPr="00AB4D2D">
        <w:rPr>
          <w:rFonts w:ascii="Calibri" w:hAnsi="Calibri" w:cs="Calibri"/>
        </w:rPr>
        <w:t xml:space="preserve">atr_14 correlates strongly with </w:t>
      </w:r>
      <w:proofErr w:type="spellStart"/>
      <w:r w:rsidRPr="00AB4D2D">
        <w:rPr>
          <w:rFonts w:ascii="Calibri" w:hAnsi="Calibri" w:cs="Calibri"/>
        </w:rPr>
        <w:t>bb_width</w:t>
      </w:r>
      <w:proofErr w:type="spellEnd"/>
      <w:r w:rsidRPr="00AB4D2D">
        <w:rPr>
          <w:rFonts w:ascii="Calibri" w:hAnsi="Calibri" w:cs="Calibri"/>
        </w:rPr>
        <w:t xml:space="preserve"> (0.80) and with price/MAs (~0.94), indicating that volatility increases with price movement magnitude.</w:t>
      </w:r>
    </w:p>
    <w:p w14:paraId="5DDC453B" w14:textId="77777777" w:rsidR="00AB4D2D" w:rsidRPr="00AB4D2D" w:rsidRDefault="00AB4D2D" w:rsidP="00AB4D2D">
      <w:pPr>
        <w:spacing w:after="0"/>
        <w:jc w:val="both"/>
        <w:rPr>
          <w:rFonts w:ascii="Calibri" w:hAnsi="Calibri" w:cs="Calibri"/>
        </w:rPr>
      </w:pPr>
      <w:r w:rsidRPr="00AB4D2D">
        <w:rPr>
          <w:rFonts w:ascii="Calibri" w:hAnsi="Calibri" w:cs="Calibri"/>
        </w:rPr>
        <w:t xml:space="preserve">volatility_20 has low correlations with most features except </w:t>
      </w:r>
      <w:proofErr w:type="spellStart"/>
      <w:r w:rsidRPr="00AB4D2D">
        <w:rPr>
          <w:rFonts w:ascii="Calibri" w:hAnsi="Calibri" w:cs="Calibri"/>
        </w:rPr>
        <w:t>bb_width</w:t>
      </w:r>
      <w:proofErr w:type="spellEnd"/>
      <w:r w:rsidRPr="00AB4D2D">
        <w:rPr>
          <w:rFonts w:ascii="Calibri" w:hAnsi="Calibri" w:cs="Calibri"/>
        </w:rPr>
        <w:t xml:space="preserve"> (0.24), showing it measures a slightly different aspect of price variability.</w:t>
      </w:r>
    </w:p>
    <w:p w14:paraId="6658C844" w14:textId="77777777" w:rsidR="00AB4D2D" w:rsidRPr="00AB4D2D" w:rsidRDefault="00AB4D2D" w:rsidP="00AB4D2D">
      <w:pPr>
        <w:spacing w:after="0"/>
        <w:jc w:val="both"/>
        <w:rPr>
          <w:rFonts w:ascii="Calibri" w:hAnsi="Calibri" w:cs="Calibri"/>
        </w:rPr>
      </w:pPr>
    </w:p>
    <w:p w14:paraId="7707BEC1" w14:textId="77777777" w:rsidR="00AB4D2D" w:rsidRPr="00AB4D2D" w:rsidRDefault="00AB4D2D" w:rsidP="00AB4D2D">
      <w:pPr>
        <w:spacing w:after="0"/>
        <w:jc w:val="both"/>
        <w:rPr>
          <w:rFonts w:ascii="Calibri" w:hAnsi="Calibri" w:cs="Calibri"/>
        </w:rPr>
      </w:pPr>
      <w:r w:rsidRPr="00AB4D2D">
        <w:rPr>
          <w:rFonts w:ascii="Calibri" w:hAnsi="Calibri" w:cs="Calibri"/>
        </w:rPr>
        <w:t>Volume and Returns:</w:t>
      </w:r>
    </w:p>
    <w:p w14:paraId="7F2DDB16" w14:textId="77777777" w:rsidR="00AB4D2D" w:rsidRPr="00AB4D2D" w:rsidRDefault="00AB4D2D" w:rsidP="00AB4D2D">
      <w:pPr>
        <w:spacing w:after="0"/>
        <w:jc w:val="both"/>
        <w:rPr>
          <w:rFonts w:ascii="Calibri" w:hAnsi="Calibri" w:cs="Calibri"/>
        </w:rPr>
      </w:pPr>
      <w:proofErr w:type="spellStart"/>
      <w:r w:rsidRPr="00AB4D2D">
        <w:rPr>
          <w:rFonts w:ascii="Calibri" w:hAnsi="Calibri" w:cs="Calibri"/>
        </w:rPr>
        <w:t>volume_ratio</w:t>
      </w:r>
      <w:proofErr w:type="spellEnd"/>
      <w:r w:rsidRPr="00AB4D2D">
        <w:rPr>
          <w:rFonts w:ascii="Calibri" w:hAnsi="Calibri" w:cs="Calibri"/>
        </w:rPr>
        <w:t xml:space="preserve"> shows nearly zero correlation with other features, suggesting volume-based signals are largely independent.</w:t>
      </w:r>
    </w:p>
    <w:p w14:paraId="1D3AC744" w14:textId="77777777" w:rsidR="00AB4D2D" w:rsidRPr="00AB4D2D" w:rsidRDefault="00AB4D2D" w:rsidP="00AB4D2D">
      <w:pPr>
        <w:spacing w:after="0"/>
        <w:jc w:val="both"/>
        <w:rPr>
          <w:rFonts w:ascii="Calibri" w:hAnsi="Calibri" w:cs="Calibri"/>
        </w:rPr>
      </w:pPr>
    </w:p>
    <w:p w14:paraId="72FB414F" w14:textId="77777777" w:rsidR="00AB4D2D" w:rsidRPr="00AB4D2D" w:rsidRDefault="00AB4D2D" w:rsidP="00AB4D2D">
      <w:pPr>
        <w:spacing w:after="0"/>
        <w:jc w:val="both"/>
        <w:rPr>
          <w:rFonts w:ascii="Calibri" w:hAnsi="Calibri" w:cs="Calibri"/>
        </w:rPr>
      </w:pPr>
      <w:r w:rsidRPr="00AB4D2D">
        <w:rPr>
          <w:rFonts w:ascii="Calibri" w:hAnsi="Calibri" w:cs="Calibri"/>
        </w:rPr>
        <w:t>Bollinger Bands</w:t>
      </w:r>
    </w:p>
    <w:p w14:paraId="2C056A16" w14:textId="77777777" w:rsidR="00AB4D2D" w:rsidRPr="00AB4D2D" w:rsidRDefault="00AB4D2D" w:rsidP="00AB4D2D">
      <w:pPr>
        <w:spacing w:after="0"/>
        <w:jc w:val="both"/>
        <w:rPr>
          <w:rFonts w:ascii="Calibri" w:hAnsi="Calibri" w:cs="Calibri"/>
        </w:rPr>
      </w:pPr>
      <w:proofErr w:type="spellStart"/>
      <w:r w:rsidRPr="00AB4D2D">
        <w:rPr>
          <w:rFonts w:ascii="Calibri" w:hAnsi="Calibri" w:cs="Calibri"/>
        </w:rPr>
        <w:t>bb_width</w:t>
      </w:r>
      <w:proofErr w:type="spellEnd"/>
      <w:r w:rsidRPr="00AB4D2D">
        <w:rPr>
          <w:rFonts w:ascii="Calibri" w:hAnsi="Calibri" w:cs="Calibri"/>
        </w:rPr>
        <w:t xml:space="preserve"> is strongly correlated with atr_14 and moderately with close/MA features (~0.72), reflecting how bands widen during high volatility.</w:t>
      </w:r>
    </w:p>
    <w:p w14:paraId="66C3A788" w14:textId="77777777" w:rsidR="00AB4D2D" w:rsidRPr="00AB4D2D" w:rsidRDefault="00AB4D2D" w:rsidP="00AB4D2D">
      <w:pPr>
        <w:spacing w:after="0"/>
        <w:jc w:val="both"/>
        <w:rPr>
          <w:rFonts w:ascii="Calibri" w:hAnsi="Calibri" w:cs="Calibri"/>
        </w:rPr>
      </w:pPr>
    </w:p>
    <w:p w14:paraId="7AFEE891" w14:textId="2DB04901" w:rsidR="00AB4D2D" w:rsidRPr="00AB4D2D" w:rsidRDefault="00AB4D2D" w:rsidP="00AB4D2D">
      <w:pPr>
        <w:spacing w:after="0"/>
        <w:jc w:val="both"/>
        <w:rPr>
          <w:rFonts w:ascii="Calibri" w:hAnsi="Calibri" w:cs="Calibri"/>
        </w:rPr>
      </w:pPr>
      <w:r w:rsidRPr="00AB4D2D">
        <w:rPr>
          <w:rFonts w:ascii="Calibri" w:hAnsi="Calibri" w:cs="Calibri"/>
        </w:rPr>
        <w:t>Key Insights:</w:t>
      </w:r>
    </w:p>
    <w:p w14:paraId="202CEC8D" w14:textId="77777777" w:rsidR="00AB4D2D" w:rsidRPr="00AB4D2D" w:rsidRDefault="00AB4D2D" w:rsidP="00AB4D2D">
      <w:pPr>
        <w:spacing w:after="0"/>
        <w:jc w:val="both"/>
        <w:rPr>
          <w:rFonts w:ascii="Calibri" w:hAnsi="Calibri" w:cs="Calibri"/>
        </w:rPr>
      </w:pPr>
      <w:r w:rsidRPr="00AB4D2D">
        <w:rPr>
          <w:rFonts w:ascii="Calibri" w:hAnsi="Calibri" w:cs="Calibri"/>
        </w:rPr>
        <w:t>Features like close, sma_20, and sma_50 are redundant, so including all in a model may cause multicollinearity.</w:t>
      </w:r>
    </w:p>
    <w:p w14:paraId="767BAA05" w14:textId="77777777" w:rsidR="00AB4D2D" w:rsidRPr="00AB4D2D" w:rsidRDefault="00AB4D2D" w:rsidP="00AB4D2D">
      <w:pPr>
        <w:spacing w:after="0"/>
        <w:jc w:val="both"/>
        <w:rPr>
          <w:rFonts w:ascii="Calibri" w:hAnsi="Calibri" w:cs="Calibri"/>
        </w:rPr>
      </w:pPr>
      <w:r w:rsidRPr="00AB4D2D">
        <w:rPr>
          <w:rFonts w:ascii="Calibri" w:hAnsi="Calibri" w:cs="Calibri"/>
        </w:rPr>
        <w:t xml:space="preserve">Momentum indicators (rsi_14, momentum_10/20, </w:t>
      </w:r>
      <w:proofErr w:type="spellStart"/>
      <w:r w:rsidRPr="00AB4D2D">
        <w:rPr>
          <w:rFonts w:ascii="Calibri" w:hAnsi="Calibri" w:cs="Calibri"/>
        </w:rPr>
        <w:t>macd</w:t>
      </w:r>
      <w:proofErr w:type="spellEnd"/>
      <w:r w:rsidRPr="00AB4D2D">
        <w:rPr>
          <w:rFonts w:ascii="Calibri" w:hAnsi="Calibri" w:cs="Calibri"/>
        </w:rPr>
        <w:t>) are highly correlated; you might select 1–2 for modeling.</w:t>
      </w:r>
    </w:p>
    <w:p w14:paraId="013688FE" w14:textId="77777777" w:rsidR="00AB4D2D" w:rsidRPr="00AB4D2D" w:rsidRDefault="00AB4D2D" w:rsidP="00AB4D2D">
      <w:pPr>
        <w:spacing w:after="0"/>
        <w:jc w:val="both"/>
        <w:rPr>
          <w:rFonts w:ascii="Calibri" w:hAnsi="Calibri" w:cs="Calibri"/>
        </w:rPr>
      </w:pPr>
      <w:r w:rsidRPr="00AB4D2D">
        <w:rPr>
          <w:rFonts w:ascii="Calibri" w:hAnsi="Calibri" w:cs="Calibri"/>
        </w:rPr>
        <w:t>Volume (</w:t>
      </w:r>
      <w:proofErr w:type="spellStart"/>
      <w:r w:rsidRPr="00AB4D2D">
        <w:rPr>
          <w:rFonts w:ascii="Calibri" w:hAnsi="Calibri" w:cs="Calibri"/>
        </w:rPr>
        <w:t>volume_ratio</w:t>
      </w:r>
      <w:proofErr w:type="spellEnd"/>
      <w:r w:rsidRPr="00AB4D2D">
        <w:rPr>
          <w:rFonts w:ascii="Calibri" w:hAnsi="Calibri" w:cs="Calibri"/>
        </w:rPr>
        <w:t>) is independent, adding a unique dimension to predictive models.</w:t>
      </w:r>
    </w:p>
    <w:p w14:paraId="0C4A7B21" w14:textId="24321F77" w:rsidR="00AB4D2D" w:rsidRPr="008722C6" w:rsidRDefault="00AB4D2D" w:rsidP="00AB4D2D">
      <w:pPr>
        <w:spacing w:after="0"/>
        <w:jc w:val="both"/>
        <w:rPr>
          <w:rFonts w:ascii="Calibri" w:hAnsi="Calibri" w:cs="Calibri"/>
        </w:rPr>
      </w:pPr>
      <w:r w:rsidRPr="00AB4D2D">
        <w:rPr>
          <w:rFonts w:ascii="Calibri" w:hAnsi="Calibri" w:cs="Calibri"/>
        </w:rPr>
        <w:t xml:space="preserve">Volatility indicators (atr_14, </w:t>
      </w:r>
      <w:proofErr w:type="spellStart"/>
      <w:r w:rsidRPr="00AB4D2D">
        <w:rPr>
          <w:rFonts w:ascii="Calibri" w:hAnsi="Calibri" w:cs="Calibri"/>
        </w:rPr>
        <w:t>bb_width</w:t>
      </w:r>
      <w:proofErr w:type="spellEnd"/>
      <w:r w:rsidRPr="00AB4D2D">
        <w:rPr>
          <w:rFonts w:ascii="Calibri" w:hAnsi="Calibri" w:cs="Calibri"/>
        </w:rPr>
        <w:t>) capture similar information, but volatility_20 is complementary.</w:t>
      </w:r>
    </w:p>
    <w:sectPr w:rsidR="00AB4D2D" w:rsidRPr="008722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6634F"/>
    <w:multiLevelType w:val="hybridMultilevel"/>
    <w:tmpl w:val="13A64672"/>
    <w:lvl w:ilvl="0" w:tplc="1009000F">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64245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2C6"/>
    <w:rsid w:val="005920A3"/>
    <w:rsid w:val="00731419"/>
    <w:rsid w:val="008722C6"/>
    <w:rsid w:val="00AB4D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44D6E"/>
  <w15:chartTrackingRefBased/>
  <w15:docId w15:val="{3FA2BA75-807A-44FC-98A6-C97DEA133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2C6"/>
    <w:rPr>
      <w:rFonts w:eastAsiaTheme="majorEastAsia" w:cstheme="majorBidi"/>
      <w:color w:val="272727" w:themeColor="text1" w:themeTint="D8"/>
    </w:rPr>
  </w:style>
  <w:style w:type="paragraph" w:styleId="Title">
    <w:name w:val="Title"/>
    <w:basedOn w:val="Normal"/>
    <w:next w:val="Normal"/>
    <w:link w:val="TitleChar"/>
    <w:uiPriority w:val="10"/>
    <w:qFormat/>
    <w:rsid w:val="00872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2C6"/>
    <w:pPr>
      <w:spacing w:before="160"/>
      <w:jc w:val="center"/>
    </w:pPr>
    <w:rPr>
      <w:i/>
      <w:iCs/>
      <w:color w:val="404040" w:themeColor="text1" w:themeTint="BF"/>
    </w:rPr>
  </w:style>
  <w:style w:type="character" w:customStyle="1" w:styleId="QuoteChar">
    <w:name w:val="Quote Char"/>
    <w:basedOn w:val="DefaultParagraphFont"/>
    <w:link w:val="Quote"/>
    <w:uiPriority w:val="29"/>
    <w:rsid w:val="008722C6"/>
    <w:rPr>
      <w:i/>
      <w:iCs/>
      <w:color w:val="404040" w:themeColor="text1" w:themeTint="BF"/>
    </w:rPr>
  </w:style>
  <w:style w:type="paragraph" w:styleId="ListParagraph">
    <w:name w:val="List Paragraph"/>
    <w:basedOn w:val="Normal"/>
    <w:uiPriority w:val="34"/>
    <w:qFormat/>
    <w:rsid w:val="008722C6"/>
    <w:pPr>
      <w:ind w:left="720"/>
      <w:contextualSpacing/>
    </w:pPr>
  </w:style>
  <w:style w:type="character" w:styleId="IntenseEmphasis">
    <w:name w:val="Intense Emphasis"/>
    <w:basedOn w:val="DefaultParagraphFont"/>
    <w:uiPriority w:val="21"/>
    <w:qFormat/>
    <w:rsid w:val="008722C6"/>
    <w:rPr>
      <w:i/>
      <w:iCs/>
      <w:color w:val="0F4761" w:themeColor="accent1" w:themeShade="BF"/>
    </w:rPr>
  </w:style>
  <w:style w:type="paragraph" w:styleId="IntenseQuote">
    <w:name w:val="Intense Quote"/>
    <w:basedOn w:val="Normal"/>
    <w:next w:val="Normal"/>
    <w:link w:val="IntenseQuoteChar"/>
    <w:uiPriority w:val="30"/>
    <w:qFormat/>
    <w:rsid w:val="00872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2C6"/>
    <w:rPr>
      <w:i/>
      <w:iCs/>
      <w:color w:val="0F4761" w:themeColor="accent1" w:themeShade="BF"/>
    </w:rPr>
  </w:style>
  <w:style w:type="character" w:styleId="IntenseReference">
    <w:name w:val="Intense Reference"/>
    <w:basedOn w:val="DefaultParagraphFont"/>
    <w:uiPriority w:val="32"/>
    <w:qFormat/>
    <w:rsid w:val="008722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Philia Ayuk</dc:creator>
  <cp:keywords/>
  <dc:description/>
  <cp:lastModifiedBy>Philia Ayuk</cp:lastModifiedBy>
  <cp:revision>1</cp:revision>
  <dcterms:created xsi:type="dcterms:W3CDTF">2025-11-10T06:04:00Z</dcterms:created>
  <dcterms:modified xsi:type="dcterms:W3CDTF">2025-11-10T06:32:00Z</dcterms:modified>
</cp:coreProperties>
</file>