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AF94" w14:textId="77777777" w:rsidR="00AE7F22" w:rsidRPr="00D72862" w:rsidRDefault="00AE7F22" w:rsidP="00D72862">
      <w:pPr>
        <w:pStyle w:val="Heading1"/>
        <w:rPr>
          <w:sz w:val="36"/>
          <w:szCs w:val="36"/>
        </w:rPr>
      </w:pPr>
      <w:r w:rsidRPr="00D72862">
        <w:rPr>
          <w:sz w:val="36"/>
          <w:szCs w:val="36"/>
        </w:rPr>
        <w:t>Exploratory Data Analysis (EDA) Summary Report</w:t>
      </w:r>
    </w:p>
    <w:p w14:paraId="7F79AD1C" w14:textId="5E00601E" w:rsidR="00AE7F22" w:rsidRPr="00AE7F22" w:rsidRDefault="00AE7F22" w:rsidP="00AE7F22">
      <w:p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  <w:b/>
          <w:bCs/>
        </w:rPr>
        <w:t>Dataset:</w:t>
      </w:r>
      <w:r w:rsidRPr="00AE7F22">
        <w:rPr>
          <w:rFonts w:ascii="Times New Roman" w:hAnsi="Times New Roman" w:cs="Times New Roman"/>
        </w:rPr>
        <w:t xml:space="preserve"> </w:t>
      </w:r>
      <w:r w:rsidRPr="00AE7F22">
        <w:rPr>
          <w:rFonts w:ascii="Times New Roman" w:hAnsi="Times New Roman" w:cs="Times New Roman"/>
          <w:i/>
          <w:iCs/>
        </w:rPr>
        <w:t>Stock Prices with Technical Indicators (20 tickers, 2019 – 2023)</w:t>
      </w:r>
    </w:p>
    <w:p w14:paraId="79F2FA5D" w14:textId="77777777" w:rsidR="00AE7F22" w:rsidRPr="00D72862" w:rsidRDefault="00AE7F22" w:rsidP="00D72862">
      <w:pPr>
        <w:pStyle w:val="Heading1"/>
        <w:rPr>
          <w:b w:val="0"/>
          <w:bCs/>
        </w:rPr>
      </w:pPr>
      <w:r w:rsidRPr="00D72862">
        <w:rPr>
          <w:b w:val="0"/>
          <w:bCs/>
        </w:rPr>
        <w:t xml:space="preserve">1. </w:t>
      </w:r>
      <w:r w:rsidRPr="00D72862">
        <w:t>Introduction</w:t>
      </w:r>
    </w:p>
    <w:p w14:paraId="193E7625" w14:textId="6B4C1C61" w:rsidR="00AE7F22" w:rsidRPr="00AE7F22" w:rsidRDefault="00AE7F22" w:rsidP="00AE7F22">
      <w:p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>The objective of this exploratory data analysis was to understand stock price behaviors, sectoral volatility patterns, and technical indicator relationships to support trend-prediction modeling.</w:t>
      </w:r>
      <w:r w:rsidRPr="00AE7F22">
        <w:rPr>
          <w:rFonts w:ascii="Times New Roman" w:hAnsi="Times New Roman" w:cs="Times New Roman"/>
        </w:rPr>
        <w:br/>
      </w:r>
      <w:r w:rsidRPr="00AE7F22">
        <w:rPr>
          <w:rFonts w:ascii="Times New Roman" w:hAnsi="Times New Roman" w:cs="Times New Roman"/>
        </w:rPr>
        <w:t xml:space="preserve">Over 20 </w:t>
      </w:r>
      <w:r w:rsidRPr="00AE7F22">
        <w:rPr>
          <w:rFonts w:ascii="Times New Roman" w:hAnsi="Times New Roman" w:cs="Times New Roman"/>
        </w:rPr>
        <w:t xml:space="preserve">technical indicators were examined across five sectors </w:t>
      </w:r>
      <w:r w:rsidRPr="00AE7F22">
        <w:rPr>
          <w:rFonts w:ascii="Times New Roman" w:hAnsi="Times New Roman" w:cs="Times New Roman"/>
        </w:rPr>
        <w:t>(</w:t>
      </w:r>
      <w:r w:rsidRPr="00AE7F22">
        <w:rPr>
          <w:rFonts w:ascii="Times New Roman" w:hAnsi="Times New Roman" w:cs="Times New Roman"/>
        </w:rPr>
        <w:t>Finance, Technology, Energy, Consumer, and Healthcare</w:t>
      </w:r>
      <w:r w:rsidRPr="00AE7F22">
        <w:rPr>
          <w:rFonts w:ascii="Times New Roman" w:hAnsi="Times New Roman" w:cs="Times New Roman"/>
        </w:rPr>
        <w:t>)</w:t>
      </w:r>
      <w:r w:rsidRPr="00AE7F22">
        <w:rPr>
          <w:rFonts w:ascii="Times New Roman" w:hAnsi="Times New Roman" w:cs="Times New Roman"/>
        </w:rPr>
        <w:t xml:space="preserve"> using descriptive statistics, visual exploration, and correlation analysis. The focus was on uncovering meaningful insights that inform feature selection while avoiding multicollinearity and ensuring temporal integrity.</w:t>
      </w:r>
    </w:p>
    <w:p w14:paraId="0C473665" w14:textId="77777777" w:rsidR="00AE7F22" w:rsidRPr="00D72862" w:rsidRDefault="00AE7F22" w:rsidP="00D72862">
      <w:pPr>
        <w:pStyle w:val="Heading1"/>
      </w:pPr>
      <w:r w:rsidRPr="00D72862">
        <w:t>2. Key Findings and Insights</w:t>
      </w:r>
    </w:p>
    <w:p w14:paraId="4A06A2B9" w14:textId="6424DFF2" w:rsidR="00D72862" w:rsidRPr="00AE7F22" w:rsidRDefault="00AE7F22" w:rsidP="00D72862">
      <w:pPr>
        <w:pStyle w:val="Heading2"/>
      </w:pPr>
      <w:r w:rsidRPr="00AE7F22">
        <w:t>2.1 Price and Trend Dynamics</w:t>
      </w:r>
    </w:p>
    <w:p w14:paraId="19DD6337" w14:textId="77777777" w:rsidR="00AE7F22" w:rsidRPr="00AE7F22" w:rsidRDefault="00AE7F22" w:rsidP="00AE7F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Overall Direction: Approximately 73 % of stocks showed an </w:t>
      </w:r>
      <w:r w:rsidRPr="00AE7F22">
        <w:rPr>
          <w:rFonts w:ascii="Times New Roman" w:hAnsi="Times New Roman" w:cs="Times New Roman"/>
          <w:i/>
          <w:iCs/>
        </w:rPr>
        <w:t>upward bias</w:t>
      </w:r>
      <w:r w:rsidRPr="00AE7F22">
        <w:rPr>
          <w:rFonts w:ascii="Times New Roman" w:hAnsi="Times New Roman" w:cs="Times New Roman"/>
        </w:rPr>
        <w:t xml:space="preserve"> after Q1 2022.</w:t>
      </w:r>
    </w:p>
    <w:p w14:paraId="5D33E921" w14:textId="5961D5BB" w:rsidR="00AE7F22" w:rsidRPr="00AE7F22" w:rsidRDefault="00AE7F22" w:rsidP="00AE7F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Sector Performance: Technology (+ 22 % avg appreciation) and Energy (+ 28 %) led the recovery; Finance and Healthcare displayed the most stability (std </w:t>
      </w:r>
      <w:r w:rsidRPr="00AE7F22">
        <w:rPr>
          <w:rFonts w:ascii="Times New Roman" w:hAnsi="Times New Roman" w:cs="Times New Roman"/>
        </w:rPr>
        <w:t>~</w:t>
      </w:r>
      <w:r w:rsidRPr="00AE7F22">
        <w:rPr>
          <w:rFonts w:ascii="Times New Roman" w:hAnsi="Times New Roman" w:cs="Times New Roman"/>
        </w:rPr>
        <w:t xml:space="preserve"> 0.9 %).</w:t>
      </w:r>
    </w:p>
    <w:p w14:paraId="2B838103" w14:textId="77777777" w:rsidR="00AE7F22" w:rsidRPr="00AE7F22" w:rsidRDefault="00AE7F22" w:rsidP="00AE7F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>Moving Averages &amp; Momentum: Short-term averages (SMA 20, EMA 12) reacted 2–3 times faster to market shocks than long-term averages (SMA 200), confirming trend turns visible after crossovers.</w:t>
      </w:r>
    </w:p>
    <w:p w14:paraId="550A5C6D" w14:textId="77777777" w:rsidR="00D72862" w:rsidRDefault="00D72862" w:rsidP="00AE7F22">
      <w:pPr>
        <w:rPr>
          <w:rFonts w:ascii="Times New Roman" w:hAnsi="Times New Roman" w:cs="Times New Roman"/>
          <w:b/>
          <w:bCs/>
        </w:rPr>
      </w:pPr>
      <w:r>
        <w:rPr>
          <w:rStyle w:val="Heading2Char"/>
        </w:rPr>
        <w:t xml:space="preserve">2.1.1 </w:t>
      </w:r>
      <w:r w:rsidRPr="00D72862">
        <w:rPr>
          <w:rStyle w:val="Heading2Char"/>
        </w:rPr>
        <w:t>Sector-Level Average Closing Price Trends (2021–2023)</w:t>
      </w:r>
      <w:r w:rsidR="00AE7F22" w:rsidRPr="00AE7F22">
        <w:rPr>
          <w:rStyle w:val="Heading2Char"/>
        </w:rPr>
        <w:br/>
      </w:r>
      <w:r w:rsidRPr="00D72862">
        <w:rPr>
          <w:rFonts w:ascii="Times New Roman" w:hAnsi="Times New Roman" w:cs="Times New Roman"/>
          <w:b/>
          <w:bCs/>
        </w:rPr>
        <w:drawing>
          <wp:inline distT="0" distB="0" distL="0" distR="0" wp14:anchorId="68730E31" wp14:editId="20F454C1">
            <wp:extent cx="5943600" cy="2459355"/>
            <wp:effectExtent l="0" t="0" r="0" b="0"/>
            <wp:docPr id="144121417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4176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F22">
        <w:rPr>
          <w:rFonts w:ascii="Times New Roman" w:hAnsi="Times New Roman" w:cs="Times New Roman"/>
          <w:b/>
          <w:bCs/>
        </w:rPr>
        <w:t xml:space="preserve"> </w:t>
      </w:r>
    </w:p>
    <w:p w14:paraId="5960E21E" w14:textId="144B7591" w:rsidR="00D72862" w:rsidRPr="00D72862" w:rsidRDefault="00D72862" w:rsidP="00AE7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chart shows that t</w:t>
      </w:r>
      <w:r w:rsidRPr="00D72862">
        <w:rPr>
          <w:rFonts w:ascii="Times New Roman" w:hAnsi="Times New Roman" w:cs="Times New Roman"/>
        </w:rPr>
        <w:t xml:space="preserve">echnology </w:t>
      </w:r>
      <w:r w:rsidR="00F94281">
        <w:rPr>
          <w:rFonts w:ascii="Times New Roman" w:hAnsi="Times New Roman" w:cs="Times New Roman"/>
        </w:rPr>
        <w:t xml:space="preserve">has </w:t>
      </w:r>
      <w:r w:rsidRPr="00D72862">
        <w:rPr>
          <w:rFonts w:ascii="Times New Roman" w:hAnsi="Times New Roman" w:cs="Times New Roman"/>
        </w:rPr>
        <w:t>the highest price growth and volatility. Finance remained stable with steady gains, while Energy experienced sharp swings. Healthcare and Consumer sectors were the most consistent, reflecting defensive strength.</w:t>
      </w:r>
    </w:p>
    <w:p w14:paraId="1703BB9E" w14:textId="09889FA3" w:rsidR="00AE7F22" w:rsidRPr="00AE7F22" w:rsidRDefault="00AE7F22" w:rsidP="00AE7F22">
      <w:pPr>
        <w:rPr>
          <w:rFonts w:ascii="Times New Roman" w:hAnsi="Times New Roman" w:cs="Times New Roman"/>
          <w:b/>
          <w:bCs/>
        </w:rPr>
      </w:pPr>
      <w:r w:rsidRPr="00AE7F22">
        <w:rPr>
          <w:rStyle w:val="Heading2Char"/>
        </w:rPr>
        <w:lastRenderedPageBreak/>
        <w:t>2.2 Volume Behavior and Market Participation</w:t>
      </w:r>
    </w:p>
    <w:p w14:paraId="05414F5B" w14:textId="28753C9E" w:rsidR="00AE7F22" w:rsidRPr="00AE7F22" w:rsidRDefault="00AE7F22" w:rsidP="00AE7F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High vs Normal Volume Days: High-volume days produced </w:t>
      </w:r>
      <w:r>
        <w:rPr>
          <w:rFonts w:ascii="Times New Roman" w:hAnsi="Times New Roman" w:cs="Times New Roman"/>
        </w:rPr>
        <w:t>~</w:t>
      </w:r>
      <w:r w:rsidRPr="00AE7F22">
        <w:rPr>
          <w:rFonts w:ascii="Times New Roman" w:hAnsi="Times New Roman" w:cs="Times New Roman"/>
        </w:rPr>
        <w:t xml:space="preserve"> 55 % larger absolute price swings, supporting demand-supply reaction effects.</w:t>
      </w:r>
    </w:p>
    <w:p w14:paraId="358DF6F4" w14:textId="75FFBC62" w:rsidR="00AE7F22" w:rsidRPr="00AE7F22" w:rsidRDefault="00AE7F22" w:rsidP="00AE7F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Sector Variations: Volume correlated weakly with price change </w:t>
      </w:r>
      <w:proofErr w:type="gramStart"/>
      <w:r w:rsidRPr="00AE7F22">
        <w:rPr>
          <w:rFonts w:ascii="Times New Roman" w:hAnsi="Times New Roman" w:cs="Times New Roman"/>
        </w:rPr>
        <w:t>( r</w:t>
      </w:r>
      <w:proofErr w:type="gramEnd"/>
      <w:r w:rsidRPr="00AE7F2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~</w:t>
      </w:r>
      <w:r w:rsidRPr="00AE7F22">
        <w:rPr>
          <w:rFonts w:ascii="Times New Roman" w:hAnsi="Times New Roman" w:cs="Times New Roman"/>
        </w:rPr>
        <w:t xml:space="preserve"> – 0.05 to + </w:t>
      </w:r>
      <w:proofErr w:type="gramStart"/>
      <w:r w:rsidRPr="00AE7F22">
        <w:rPr>
          <w:rFonts w:ascii="Times New Roman" w:hAnsi="Times New Roman" w:cs="Times New Roman"/>
        </w:rPr>
        <w:t>0.06 )</w:t>
      </w:r>
      <w:proofErr w:type="gramEnd"/>
      <w:r w:rsidRPr="00AE7F22">
        <w:rPr>
          <w:rFonts w:ascii="Times New Roman" w:hAnsi="Times New Roman" w:cs="Times New Roman"/>
        </w:rPr>
        <w:t>. Finance and Healthcare had mild positive relations, while Energy and Tech often showed negative ones, suggesting selling pressure during heavy trading.</w:t>
      </w:r>
    </w:p>
    <w:p w14:paraId="3564998F" w14:textId="1795442C" w:rsidR="00AE7F22" w:rsidRPr="00AE7F22" w:rsidRDefault="00AE7F22" w:rsidP="00AE7F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>Temporal Patterns: Volume peaks aligned with broad market optimism (mid-2021 and early 2023). Energy and Finance were the most cyclical sectors.</w:t>
      </w:r>
    </w:p>
    <w:p w14:paraId="6F63C0FD" w14:textId="77777777" w:rsidR="00AE7F22" w:rsidRPr="00AE7F22" w:rsidRDefault="00AE7F22" w:rsidP="00D72862">
      <w:pPr>
        <w:pStyle w:val="Heading2"/>
      </w:pPr>
      <w:r w:rsidRPr="00AE7F22">
        <w:t>2.3 Technical Indicators and Momentum Signals</w:t>
      </w:r>
    </w:p>
    <w:p w14:paraId="60EF9308" w14:textId="77777777" w:rsidR="00AE7F22" w:rsidRPr="00AE7F22" w:rsidRDefault="00AE7F22" w:rsidP="00AE7F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>RSI (14): Mostly ranged between 35–65 (neutral momentum). Readings &gt; 70 (mid-2021, late-2022) signaled temporary overbought conditions; &lt; 30 (mid-2022) indicated buy zones.</w:t>
      </w:r>
    </w:p>
    <w:p w14:paraId="43ADC577" w14:textId="524DFC29" w:rsidR="00AE7F22" w:rsidRPr="00AE7F22" w:rsidRDefault="00AE7F22" w:rsidP="00AE7F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MACD Crossovers: Bullish crossovers preceded price rallies in </w:t>
      </w:r>
      <w:r>
        <w:rPr>
          <w:rFonts w:ascii="Times New Roman" w:hAnsi="Times New Roman" w:cs="Times New Roman"/>
        </w:rPr>
        <w:t>~</w:t>
      </w:r>
      <w:r w:rsidRPr="00AE7F22">
        <w:rPr>
          <w:rFonts w:ascii="Times New Roman" w:hAnsi="Times New Roman" w:cs="Times New Roman"/>
        </w:rPr>
        <w:t xml:space="preserve"> 82 % of cases, while bearish crossovers preceded short corrections. Tech had the strongest bull phases; Energy was more volatile.</w:t>
      </w:r>
    </w:p>
    <w:p w14:paraId="5AC2D3AB" w14:textId="77777777" w:rsidR="00AE7F22" w:rsidRDefault="00AE7F22" w:rsidP="00AE7F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Volatility Bands: Bollinger Band width varied by sector </w:t>
      </w:r>
      <w:r>
        <w:rPr>
          <w:rFonts w:ascii="Times New Roman" w:hAnsi="Times New Roman" w:cs="Times New Roman"/>
        </w:rPr>
        <w:t>-</w:t>
      </w:r>
      <w:r w:rsidRPr="00AE7F22">
        <w:rPr>
          <w:rFonts w:ascii="Times New Roman" w:hAnsi="Times New Roman" w:cs="Times New Roman"/>
        </w:rPr>
        <w:t xml:space="preserve"> Technology &gt; Finance &gt; Energy &gt; Healthcare &gt; Consumer – with Tech showing </w:t>
      </w:r>
      <w:r>
        <w:rPr>
          <w:rFonts w:ascii="Times New Roman" w:hAnsi="Times New Roman" w:cs="Times New Roman"/>
        </w:rPr>
        <w:t>~</w:t>
      </w:r>
      <w:r w:rsidRPr="00AE7F22">
        <w:rPr>
          <w:rFonts w:ascii="Times New Roman" w:hAnsi="Times New Roman" w:cs="Times New Roman"/>
        </w:rPr>
        <w:t xml:space="preserve"> 2.4 </w:t>
      </w:r>
      <w:r>
        <w:rPr>
          <w:rFonts w:ascii="Times New Roman" w:hAnsi="Times New Roman" w:cs="Times New Roman"/>
        </w:rPr>
        <w:t>times</w:t>
      </w:r>
      <w:r w:rsidRPr="00AE7F22">
        <w:rPr>
          <w:rFonts w:ascii="Times New Roman" w:hAnsi="Times New Roman" w:cs="Times New Roman"/>
        </w:rPr>
        <w:t xml:space="preserve"> greater bandwidth than Consumer.</w:t>
      </w:r>
    </w:p>
    <w:p w14:paraId="45590DED" w14:textId="7F3F2753" w:rsidR="00AE7F22" w:rsidRDefault="00AE7F22" w:rsidP="00D72862">
      <w:pPr>
        <w:pStyle w:val="Heading2"/>
        <w:rPr>
          <w:b w:val="0"/>
        </w:rPr>
      </w:pPr>
      <w:r w:rsidRPr="00AE7F22">
        <w:t>2.4 Correlation and Feature Selection Summary</w:t>
      </w:r>
    </w:p>
    <w:p w14:paraId="59EB58D9" w14:textId="03AF1E4D" w:rsidR="00761008" w:rsidRPr="00AE7F22" w:rsidRDefault="00761008" w:rsidP="00AE7F22">
      <w:pPr>
        <w:rPr>
          <w:rFonts w:ascii="Times New Roman" w:hAnsi="Times New Roman" w:cs="Times New Roman"/>
        </w:rPr>
      </w:pPr>
      <w:r w:rsidRPr="00761008">
        <w:rPr>
          <w:rFonts w:ascii="Times New Roman" w:hAnsi="Times New Roman" w:cs="Times New Roman"/>
        </w:rPr>
        <w:drawing>
          <wp:inline distT="0" distB="0" distL="0" distR="0" wp14:anchorId="702A13DC" wp14:editId="073D120C">
            <wp:extent cx="5890895" cy="2800350"/>
            <wp:effectExtent l="0" t="0" r="0" b="0"/>
            <wp:docPr id="154614386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43861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736" cy="28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160B" w14:textId="1029EA2A" w:rsidR="00AE7F22" w:rsidRPr="00AE7F22" w:rsidRDefault="00AE7F22" w:rsidP="00AE7F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Correlation Heatmap: Strong correlation clusters found among SMA/EMA and MACD pairs. After removing variables with r &gt; 0.8, a refined set of </w:t>
      </w:r>
      <w:r w:rsidRPr="00AE7F22">
        <w:rPr>
          <w:rFonts w:ascii="Times New Roman" w:hAnsi="Times New Roman" w:cs="Times New Roman"/>
        </w:rPr>
        <w:t>~</w:t>
      </w:r>
      <w:r w:rsidRPr="00AE7F22">
        <w:rPr>
          <w:rFonts w:ascii="Times New Roman" w:hAnsi="Times New Roman" w:cs="Times New Roman"/>
        </w:rPr>
        <w:t xml:space="preserve"> 10 independent features remained.</w:t>
      </w:r>
    </w:p>
    <w:p w14:paraId="0DF256CD" w14:textId="73D5D524" w:rsidR="00AE7F22" w:rsidRPr="00AE7F22" w:rsidRDefault="00AE7F22" w:rsidP="00AE7F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lastRenderedPageBreak/>
        <w:t xml:space="preserve">Variance Inflation Factor (VIF): Most features had VIF &lt; 5 except </w:t>
      </w:r>
      <w:proofErr w:type="spellStart"/>
      <w:r w:rsidRPr="00AE7F22">
        <w:rPr>
          <w:rFonts w:ascii="Times New Roman" w:hAnsi="Times New Roman" w:cs="Times New Roman"/>
        </w:rPr>
        <w:t>bb_width</w:t>
      </w:r>
      <w:proofErr w:type="spellEnd"/>
      <w:r w:rsidRPr="00AE7F22">
        <w:rPr>
          <w:rFonts w:ascii="Times New Roman" w:hAnsi="Times New Roman" w:cs="Times New Roman"/>
        </w:rPr>
        <w:t xml:space="preserve"> and price_std_20 </w:t>
      </w:r>
      <w:proofErr w:type="gramStart"/>
      <w:r w:rsidRPr="00AE7F22">
        <w:rPr>
          <w:rFonts w:ascii="Times New Roman" w:hAnsi="Times New Roman" w:cs="Times New Roman"/>
        </w:rPr>
        <w:t xml:space="preserve">( </w:t>
      </w:r>
      <w:r w:rsidRPr="00AE7F22">
        <w:rPr>
          <w:rFonts w:ascii="Times New Roman" w:hAnsi="Times New Roman" w:cs="Times New Roman"/>
        </w:rPr>
        <w:t>~</w:t>
      </w:r>
      <w:proofErr w:type="gramEnd"/>
      <w:r w:rsidRPr="00AE7F22">
        <w:rPr>
          <w:rFonts w:ascii="Times New Roman" w:hAnsi="Times New Roman" w:cs="Times New Roman"/>
        </w:rPr>
        <w:t xml:space="preserve"> </w:t>
      </w:r>
      <w:proofErr w:type="gramStart"/>
      <w:r w:rsidRPr="00AE7F22">
        <w:rPr>
          <w:rFonts w:ascii="Times New Roman" w:hAnsi="Times New Roman" w:cs="Times New Roman"/>
        </w:rPr>
        <w:t>3000 )</w:t>
      </w:r>
      <w:proofErr w:type="gramEnd"/>
      <w:r w:rsidRPr="00AE7F22">
        <w:rPr>
          <w:rFonts w:ascii="Times New Roman" w:hAnsi="Times New Roman" w:cs="Times New Roman"/>
        </w:rPr>
        <w:t xml:space="preserve"> </w:t>
      </w:r>
      <w:r w:rsidRPr="00AE7F22">
        <w:rPr>
          <w:rFonts w:ascii="Times New Roman" w:hAnsi="Times New Roman" w:cs="Times New Roman"/>
        </w:rPr>
        <w:t>-</w:t>
      </w:r>
      <w:r w:rsidRPr="00AE7F22">
        <w:rPr>
          <w:rFonts w:ascii="Times New Roman" w:hAnsi="Times New Roman" w:cs="Times New Roman"/>
        </w:rPr>
        <w:t xml:space="preserve"> dropped to reduce multicollinearity.</w:t>
      </w:r>
    </w:p>
    <w:p w14:paraId="737CD6DC" w14:textId="400A4EE8" w:rsidR="00AE7F22" w:rsidRPr="00AE7F22" w:rsidRDefault="00AE7F22" w:rsidP="00AE7F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 xml:space="preserve">Selected Feature Set: 8 numerical (rsi_14, </w:t>
      </w:r>
      <w:proofErr w:type="spellStart"/>
      <w:r w:rsidRPr="00AE7F22">
        <w:rPr>
          <w:rFonts w:ascii="Times New Roman" w:hAnsi="Times New Roman" w:cs="Times New Roman"/>
        </w:rPr>
        <w:t>macd_histogram</w:t>
      </w:r>
      <w:proofErr w:type="spellEnd"/>
      <w:r w:rsidRPr="00AE7F22">
        <w:rPr>
          <w:rFonts w:ascii="Times New Roman" w:hAnsi="Times New Roman" w:cs="Times New Roman"/>
        </w:rPr>
        <w:t xml:space="preserve">, price_to_sma_50, momentum_10, volatility_20, </w:t>
      </w:r>
      <w:proofErr w:type="spellStart"/>
      <w:r w:rsidRPr="00AE7F22">
        <w:rPr>
          <w:rFonts w:ascii="Times New Roman" w:hAnsi="Times New Roman" w:cs="Times New Roman"/>
        </w:rPr>
        <w:t>volume_ratio</w:t>
      </w:r>
      <w:proofErr w:type="spellEnd"/>
      <w:r w:rsidRPr="00AE7F22">
        <w:rPr>
          <w:rFonts w:ascii="Times New Roman" w:hAnsi="Times New Roman" w:cs="Times New Roman"/>
        </w:rPr>
        <w:t>, volume_sma_20, close) + 1 categorical (sector).</w:t>
      </w:r>
    </w:p>
    <w:p w14:paraId="174BA724" w14:textId="77777777" w:rsidR="00AE7F22" w:rsidRPr="00AE7F22" w:rsidRDefault="00AE7F22" w:rsidP="00D72862">
      <w:pPr>
        <w:pStyle w:val="Heading2"/>
      </w:pPr>
      <w:r w:rsidRPr="00AE7F22">
        <w:t>2.5 Modeling Dataset Preparation</w:t>
      </w:r>
    </w:p>
    <w:p w14:paraId="4C57D53D" w14:textId="77777777" w:rsidR="00AE7F22" w:rsidRPr="00761008" w:rsidRDefault="00AE7F22" w:rsidP="007610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61008">
        <w:rPr>
          <w:rFonts w:ascii="Times New Roman" w:hAnsi="Times New Roman" w:cs="Times New Roman"/>
        </w:rPr>
        <w:t>Final Records: 15 500 entries after cleaning; no missing values detected.</w:t>
      </w:r>
    </w:p>
    <w:p w14:paraId="609C51BC" w14:textId="6E2ADD91" w:rsidR="00AE7F22" w:rsidRPr="00761008" w:rsidRDefault="00AE7F22" w:rsidP="007610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61008">
        <w:rPr>
          <w:rFonts w:ascii="Times New Roman" w:hAnsi="Times New Roman" w:cs="Times New Roman"/>
        </w:rPr>
        <w:t xml:space="preserve">Temporal Split: 70 % train (10 860 rows </w:t>
      </w:r>
      <w:r w:rsidR="00761008">
        <w:rPr>
          <w:rFonts w:ascii="Times New Roman" w:hAnsi="Times New Roman" w:cs="Times New Roman"/>
        </w:rPr>
        <w:t>-</w:t>
      </w:r>
      <w:r w:rsidRPr="00761008">
        <w:rPr>
          <w:rFonts w:ascii="Times New Roman" w:hAnsi="Times New Roman" w:cs="Times New Roman"/>
        </w:rPr>
        <w:t xml:space="preserve"> Jan 2021 to Feb 2023), 30 % test (4 640 rows </w:t>
      </w:r>
      <w:r w:rsidR="00761008">
        <w:rPr>
          <w:rFonts w:ascii="Times New Roman" w:hAnsi="Times New Roman" w:cs="Times New Roman"/>
        </w:rPr>
        <w:t>-</w:t>
      </w:r>
      <w:r w:rsidRPr="00761008">
        <w:rPr>
          <w:rFonts w:ascii="Times New Roman" w:hAnsi="Times New Roman" w:cs="Times New Roman"/>
        </w:rPr>
        <w:t xml:space="preserve"> Feb 2023 to Dec 2023).</w:t>
      </w:r>
    </w:p>
    <w:p w14:paraId="67F88B8F" w14:textId="6DD553A1" w:rsidR="00AE7F22" w:rsidRPr="00761008" w:rsidRDefault="00AE7F22" w:rsidP="007610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61008">
        <w:rPr>
          <w:rFonts w:ascii="Times New Roman" w:hAnsi="Times New Roman" w:cs="Times New Roman"/>
        </w:rPr>
        <w:t xml:space="preserve">Target Distribution: Uptrend 35 %, Sideways 34 %, Downtrend 31 % </w:t>
      </w:r>
      <w:r w:rsidR="00761008">
        <w:rPr>
          <w:rFonts w:ascii="Times New Roman" w:hAnsi="Times New Roman" w:cs="Times New Roman"/>
        </w:rPr>
        <w:t xml:space="preserve">- </w:t>
      </w:r>
      <w:r w:rsidRPr="00761008">
        <w:rPr>
          <w:rFonts w:ascii="Times New Roman" w:hAnsi="Times New Roman" w:cs="Times New Roman"/>
        </w:rPr>
        <w:t>balanced class representation.</w:t>
      </w:r>
    </w:p>
    <w:p w14:paraId="68AFA2B5" w14:textId="77DDF9F2" w:rsidR="00AE7F22" w:rsidRPr="00761008" w:rsidRDefault="00AE7F22" w:rsidP="00AE7F2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61008">
        <w:rPr>
          <w:rFonts w:ascii="Times New Roman" w:hAnsi="Times New Roman" w:cs="Times New Roman"/>
        </w:rPr>
        <w:t>Integrity Check: No data leakage identified; features reflect only past information at prediction time.</w:t>
      </w:r>
    </w:p>
    <w:p w14:paraId="3501F563" w14:textId="77777777" w:rsidR="00AE7F22" w:rsidRPr="00D72862" w:rsidRDefault="00AE7F22" w:rsidP="00D72862">
      <w:pPr>
        <w:pStyle w:val="Heading1"/>
      </w:pPr>
      <w:r w:rsidRPr="00D72862">
        <w:t>3. Quantitative Highlights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761008" w14:paraId="1A1C920F" w14:textId="77777777" w:rsidTr="00761008">
        <w:tc>
          <w:tcPr>
            <w:tcW w:w="3595" w:type="dxa"/>
          </w:tcPr>
          <w:p w14:paraId="470975FE" w14:textId="6B81B1FA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5755" w:type="dxa"/>
          </w:tcPr>
          <w:p w14:paraId="51007886" w14:textId="05F880C7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761008" w14:paraId="395B036D" w14:textId="77777777" w:rsidTr="00761008">
        <w:tc>
          <w:tcPr>
            <w:tcW w:w="3595" w:type="dxa"/>
          </w:tcPr>
          <w:p w14:paraId="551C1A12" w14:textId="25419A84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>Stocks &amp; Sectors</w:t>
            </w:r>
          </w:p>
        </w:tc>
        <w:tc>
          <w:tcPr>
            <w:tcW w:w="5755" w:type="dxa"/>
          </w:tcPr>
          <w:p w14:paraId="32210F77" w14:textId="4DF8C667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 xml:space="preserve">20 </w:t>
            </w:r>
            <w:proofErr w:type="gramStart"/>
            <w:r w:rsidRPr="00AE7F22">
              <w:rPr>
                <w:rFonts w:ascii="Times New Roman" w:hAnsi="Times New Roman" w:cs="Times New Roman"/>
              </w:rPr>
              <w:t>tickers</w:t>
            </w:r>
            <w:proofErr w:type="gramEnd"/>
            <w:r w:rsidRPr="00AE7F22">
              <w:rPr>
                <w:rFonts w:ascii="Times New Roman" w:hAnsi="Times New Roman" w:cs="Times New Roman"/>
              </w:rPr>
              <w:t xml:space="preserve"> across 5 sectors</w:t>
            </w:r>
          </w:p>
        </w:tc>
      </w:tr>
      <w:tr w:rsidR="00761008" w14:paraId="4F7CD305" w14:textId="77777777" w:rsidTr="00761008">
        <w:tc>
          <w:tcPr>
            <w:tcW w:w="3595" w:type="dxa"/>
          </w:tcPr>
          <w:p w14:paraId="739F331A" w14:textId="37176D2D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>Analysis Period</w:t>
            </w:r>
          </w:p>
        </w:tc>
        <w:tc>
          <w:tcPr>
            <w:tcW w:w="5755" w:type="dxa"/>
          </w:tcPr>
          <w:p w14:paraId="3D7869BA" w14:textId="0C559C80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>2019 – 2023 (≈ 1.5 M daily records aggregated)</w:t>
            </w:r>
          </w:p>
        </w:tc>
      </w:tr>
      <w:tr w:rsidR="00761008" w14:paraId="389AFCD5" w14:textId="77777777" w:rsidTr="00761008">
        <w:tc>
          <w:tcPr>
            <w:tcW w:w="3595" w:type="dxa"/>
          </w:tcPr>
          <w:p w14:paraId="02B8477A" w14:textId="76E10B5B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>Feature Reduction</w:t>
            </w:r>
          </w:p>
        </w:tc>
        <w:tc>
          <w:tcPr>
            <w:tcW w:w="5755" w:type="dxa"/>
          </w:tcPr>
          <w:p w14:paraId="729AD2EF" w14:textId="3E86FEC7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 xml:space="preserve">40 </w:t>
            </w:r>
            <w:r>
              <w:rPr>
                <w:rFonts w:ascii="Times New Roman" w:hAnsi="Times New Roman" w:cs="Times New Roman"/>
              </w:rPr>
              <w:t>~</w:t>
            </w:r>
            <w:r w:rsidRPr="00AE7F22">
              <w:rPr>
                <w:rFonts w:ascii="Times New Roman" w:hAnsi="Times New Roman" w:cs="Times New Roman"/>
              </w:rPr>
              <w:t xml:space="preserve"> 12 core features </w:t>
            </w:r>
            <w:proofErr w:type="gramStart"/>
            <w:r w:rsidRPr="00AE7F22">
              <w:rPr>
                <w:rFonts w:ascii="Times New Roman" w:hAnsi="Times New Roman" w:cs="Times New Roman"/>
              </w:rPr>
              <w:t>( ~</w:t>
            </w:r>
            <w:proofErr w:type="gramEnd"/>
            <w:r w:rsidRPr="00AE7F22">
              <w:rPr>
                <w:rFonts w:ascii="Times New Roman" w:hAnsi="Times New Roman" w:cs="Times New Roman"/>
              </w:rPr>
              <w:t xml:space="preserve"> 70 % </w:t>
            </w:r>
            <w:proofErr w:type="gramStart"/>
            <w:r w:rsidRPr="00AE7F22">
              <w:rPr>
                <w:rFonts w:ascii="Times New Roman" w:hAnsi="Times New Roman" w:cs="Times New Roman"/>
              </w:rPr>
              <w:t>pruned )</w:t>
            </w:r>
            <w:proofErr w:type="gramEnd"/>
          </w:p>
        </w:tc>
      </w:tr>
      <w:tr w:rsidR="00761008" w14:paraId="34AC5F59" w14:textId="77777777" w:rsidTr="00761008">
        <w:tc>
          <w:tcPr>
            <w:tcW w:w="3595" w:type="dxa"/>
          </w:tcPr>
          <w:p w14:paraId="2CE2586A" w14:textId="1C90C715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>RSI Overbought/Oversold</w:t>
            </w:r>
          </w:p>
        </w:tc>
        <w:tc>
          <w:tcPr>
            <w:tcW w:w="5755" w:type="dxa"/>
          </w:tcPr>
          <w:p w14:paraId="0266969B" w14:textId="3BEB6F98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>&gt; 70 (14 %), &lt; 30 (10 %)</w:t>
            </w:r>
          </w:p>
        </w:tc>
      </w:tr>
      <w:tr w:rsidR="00761008" w14:paraId="3461D52A" w14:textId="77777777" w:rsidTr="00761008">
        <w:tc>
          <w:tcPr>
            <w:tcW w:w="3595" w:type="dxa"/>
          </w:tcPr>
          <w:p w14:paraId="53D2A529" w14:textId="50572CDB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 w:rsidRPr="00AE7F22">
              <w:rPr>
                <w:rFonts w:ascii="Times New Roman" w:hAnsi="Times New Roman" w:cs="Times New Roman"/>
              </w:rPr>
              <w:t>MACD Crossover Accuracy</w:t>
            </w:r>
          </w:p>
        </w:tc>
        <w:tc>
          <w:tcPr>
            <w:tcW w:w="5755" w:type="dxa"/>
          </w:tcPr>
          <w:p w14:paraId="5316FFD8" w14:textId="6E439A2A" w:rsidR="00761008" w:rsidRDefault="00761008" w:rsidP="00AE7F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~</w:t>
            </w:r>
            <w:r w:rsidRPr="00AE7F22">
              <w:rPr>
                <w:rFonts w:ascii="Times New Roman" w:hAnsi="Times New Roman" w:cs="Times New Roman"/>
              </w:rPr>
              <w:t xml:space="preserve"> 82 % alignment with price direction</w:t>
            </w:r>
          </w:p>
        </w:tc>
      </w:tr>
      <w:tr w:rsidR="00761008" w14:paraId="3DF5682B" w14:textId="77777777" w:rsidTr="004275E3">
        <w:tc>
          <w:tcPr>
            <w:tcW w:w="3595" w:type="dxa"/>
            <w:vAlign w:val="center"/>
          </w:tcPr>
          <w:p w14:paraId="7D96884A" w14:textId="49C36C05" w:rsidR="00761008" w:rsidRPr="00AE7F22" w:rsidRDefault="00761008" w:rsidP="00761008">
            <w:pPr>
              <w:rPr>
                <w:rFonts w:ascii="Times New Roman" w:hAnsi="Times New Roman" w:cs="Times New Roman"/>
              </w:rPr>
            </w:pPr>
            <w:r w:rsidRPr="00AE7F22">
              <w:rPr>
                <w:rFonts w:ascii="Times New Roman" w:hAnsi="Times New Roman" w:cs="Times New Roman"/>
              </w:rPr>
              <w:t>Volatility Rank (std)</w:t>
            </w:r>
          </w:p>
        </w:tc>
        <w:tc>
          <w:tcPr>
            <w:tcW w:w="5755" w:type="dxa"/>
          </w:tcPr>
          <w:p w14:paraId="12F78D53" w14:textId="399398B8" w:rsidR="00761008" w:rsidRDefault="00761008" w:rsidP="00761008">
            <w:pPr>
              <w:rPr>
                <w:rFonts w:ascii="Times New Roman" w:hAnsi="Times New Roman" w:cs="Times New Roman"/>
              </w:rPr>
            </w:pPr>
            <w:r w:rsidRPr="00AE7F22">
              <w:rPr>
                <w:rFonts w:ascii="Times New Roman" w:hAnsi="Times New Roman" w:cs="Times New Roman"/>
              </w:rPr>
              <w:t>Tech &gt; Finance &gt; Energy &gt; Healthcare &gt; Consumer</w:t>
            </w:r>
          </w:p>
        </w:tc>
      </w:tr>
    </w:tbl>
    <w:p w14:paraId="1369C2EF" w14:textId="77777777" w:rsidR="00761008" w:rsidRDefault="00761008" w:rsidP="00AE7F22">
      <w:pPr>
        <w:rPr>
          <w:rFonts w:ascii="Times New Roman" w:hAnsi="Times New Roman" w:cs="Times New Roman"/>
          <w:b/>
          <w:bCs/>
        </w:rPr>
      </w:pPr>
    </w:p>
    <w:p w14:paraId="5978F210" w14:textId="0E0C92D6" w:rsidR="00AE7F22" w:rsidRPr="00D72862" w:rsidRDefault="00AE7F22" w:rsidP="00D72862">
      <w:pPr>
        <w:pStyle w:val="Heading1"/>
      </w:pPr>
      <w:r w:rsidRPr="00D72862">
        <w:t>4. Conclusion</w:t>
      </w:r>
    </w:p>
    <w:p w14:paraId="0CC3FA83" w14:textId="0024038B" w:rsidR="00282E97" w:rsidRPr="00AE7F22" w:rsidRDefault="00AE7F22">
      <w:pPr>
        <w:rPr>
          <w:rFonts w:ascii="Times New Roman" w:hAnsi="Times New Roman" w:cs="Times New Roman"/>
        </w:rPr>
      </w:pPr>
      <w:r w:rsidRPr="00AE7F22">
        <w:rPr>
          <w:rFonts w:ascii="Times New Roman" w:hAnsi="Times New Roman" w:cs="Times New Roman"/>
        </w:rPr>
        <w:t>The EDA uncovered clear sectoral behaviors and market cycles. Energy and Technology dominated recovery trends, while Finance and Healthcare showed resilience. Feature-wise, the study achieved a balance across momentum, trend, volume, and volatility indicators, ensuring both interpretability and predictive diversity.</w:t>
      </w:r>
    </w:p>
    <w:sectPr w:rsidR="00282E97" w:rsidRPr="00AE7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C02"/>
    <w:multiLevelType w:val="multilevel"/>
    <w:tmpl w:val="D0F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53FA4"/>
    <w:multiLevelType w:val="hybridMultilevel"/>
    <w:tmpl w:val="8836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F7AA7"/>
    <w:multiLevelType w:val="multilevel"/>
    <w:tmpl w:val="4A4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6521"/>
    <w:multiLevelType w:val="multilevel"/>
    <w:tmpl w:val="F8C2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12967"/>
    <w:multiLevelType w:val="hybridMultilevel"/>
    <w:tmpl w:val="173A7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A4979"/>
    <w:multiLevelType w:val="multilevel"/>
    <w:tmpl w:val="E55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674C"/>
    <w:multiLevelType w:val="hybridMultilevel"/>
    <w:tmpl w:val="41DAB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F6F14"/>
    <w:multiLevelType w:val="hybridMultilevel"/>
    <w:tmpl w:val="57583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B14FF"/>
    <w:multiLevelType w:val="multilevel"/>
    <w:tmpl w:val="590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A0275"/>
    <w:multiLevelType w:val="hybridMultilevel"/>
    <w:tmpl w:val="EA766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D511B"/>
    <w:multiLevelType w:val="multilevel"/>
    <w:tmpl w:val="5CC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76975">
    <w:abstractNumId w:val="8"/>
  </w:num>
  <w:num w:numId="2" w16cid:durableId="1395355586">
    <w:abstractNumId w:val="0"/>
  </w:num>
  <w:num w:numId="3" w16cid:durableId="62795579">
    <w:abstractNumId w:val="5"/>
  </w:num>
  <w:num w:numId="4" w16cid:durableId="600187991">
    <w:abstractNumId w:val="2"/>
  </w:num>
  <w:num w:numId="5" w16cid:durableId="1182011733">
    <w:abstractNumId w:val="10"/>
  </w:num>
  <w:num w:numId="6" w16cid:durableId="2135519704">
    <w:abstractNumId w:val="3"/>
  </w:num>
  <w:num w:numId="7" w16cid:durableId="1887334605">
    <w:abstractNumId w:val="6"/>
  </w:num>
  <w:num w:numId="8" w16cid:durableId="1694450817">
    <w:abstractNumId w:val="7"/>
  </w:num>
  <w:num w:numId="9" w16cid:durableId="375009340">
    <w:abstractNumId w:val="4"/>
  </w:num>
  <w:num w:numId="10" w16cid:durableId="1044059177">
    <w:abstractNumId w:val="1"/>
  </w:num>
  <w:num w:numId="11" w16cid:durableId="2132355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22"/>
    <w:rsid w:val="00282E97"/>
    <w:rsid w:val="00761008"/>
    <w:rsid w:val="0086711F"/>
    <w:rsid w:val="008E0724"/>
    <w:rsid w:val="0097561D"/>
    <w:rsid w:val="00AE7F22"/>
    <w:rsid w:val="00D72862"/>
    <w:rsid w:val="00F9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24FC"/>
  <w15:chartTrackingRefBased/>
  <w15:docId w15:val="{106E724C-9BDE-43A9-8807-469C344A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6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86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6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862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1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Dania</dc:creator>
  <cp:keywords/>
  <dc:description/>
  <cp:lastModifiedBy>Susan Dania</cp:lastModifiedBy>
  <cp:revision>1</cp:revision>
  <dcterms:created xsi:type="dcterms:W3CDTF">2025-11-11T04:18:00Z</dcterms:created>
  <dcterms:modified xsi:type="dcterms:W3CDTF">2025-11-11T04:50:00Z</dcterms:modified>
</cp:coreProperties>
</file>