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
        <w:numPr>
          <w:ilvl w:val="0"/>
          <w:numId w:val="0"/>
        </w:numPr>
        <w:jc w:val="center"/>
      </w:pPr>
      <w:r>
        <w:rPr>
          <w:highlight w:val="red"/>
        </w:rPr>
        <w:t>Протокол доказательства с нулевым разглашением для обеспечения конфиденциальности в многоцентровых медицинских исследованиях</w:t>
      </w:r>
    </w:p>
    <w:p>
      <w:pPr>
        <w:pStyle w:val="1"/>
      </w:pPr>
      <w:r>
        <w:t>Введение</w:t>
      </w:r>
    </w:p>
    <w:p>
      <w:r>
        <w:t xml:space="preserve">В современной практике клинических исследований и международных научных проектов ключевой организационной проблемой является консолидация лабораторных данных, полученных в различных географически распределенных центрах. Проведение многоцентровых рандомизированных испытаний, формирование эпидемиологических когорт и ведение международных регистров пациентов требуют объединения широкого спектра показателей – от концентраций </w:t>
      </w:r>
      <w:proofErr w:type="spellStart"/>
      <w:r>
        <w:t>биомаркеров</w:t>
      </w:r>
      <w:proofErr w:type="spellEnd"/>
      <w:r>
        <w:t xml:space="preserve"> до генетических и иммунологических профилей – для последующего статистического анализа. При этом передача таких данных через границы государств неизбежно подпадает под действие нормативно-правовых актов, регулирующих обращение с персональными и медицинскими данными [</w:t>
      </w:r>
      <w:r>
        <w:fldChar w:fldCharType="begin"/>
      </w:r>
      <w:r>
        <w:instrText xml:space="preserve"> REF _Ref239761355 \r \h </w:instrText>
      </w:r>
      <w:r>
        <w:fldChar w:fldCharType="separate"/>
      </w:r>
      <w:r>
        <w:t>1</w:t>
      </w:r>
      <w:r>
        <w:fldChar w:fldCharType="end"/>
      </w:r>
      <w:r>
        <w:t xml:space="preserve">, </w:t>
      </w:r>
      <w:r>
        <w:fldChar w:fldCharType="begin"/>
      </w:r>
      <w:r>
        <w:instrText xml:space="preserve"> REF _Ref239761356 \r \h </w:instrText>
      </w:r>
      <w:r>
        <w:fldChar w:fldCharType="separate"/>
      </w:r>
      <w:r>
        <w:t>2</w:t>
      </w:r>
      <w:r>
        <w:fldChar w:fldCharType="end"/>
      </w:r>
      <w:r>
        <w:t xml:space="preserve">, </w:t>
      </w:r>
      <w:r>
        <w:fldChar w:fldCharType="begin"/>
      </w:r>
      <w:r>
        <w:instrText xml:space="preserve"> REF _Ref239761357 \r \h </w:instrText>
      </w:r>
      <w:r>
        <w:fldChar w:fldCharType="separate"/>
      </w:r>
      <w:r>
        <w:t>3</w:t>
      </w:r>
      <w:r>
        <w:fldChar w:fldCharType="end"/>
      </w:r>
      <w:r>
        <w:t>], требования которых к согласию субъектов, целевому использованию, обеспечению безопасности и, особенно, к трансграничной передаче существенно различаются между юрисдикциями, что нередко приводит к задержкам, дополнительным административным барьерам и даже к отказу от включения некоторых центров в международные коллаборации.</w:t>
      </w:r>
    </w:p>
    <w:p>
      <w:r>
        <w:t>Особую остроту данная проблема приобретает при необходимости передачи агрегатору сырых индивидуальных результатов измерений. Подобная практика не только повышает риски утечки конфиденциальной информации, но и может вступать в противоречие с политикой локальных этических комитетов или коммерческими интересами лабораторий, рассматривающих свои аналитические методики как охраняемую тайну. Существующие подходы к организации подобных исследований базируются на безусловном доверии к центральному агрегатору, получающему полный доступ к массивам данных. Такая архитектура обусловлена необходимостью статистической обработки, которая классически предполагает наличие всех индивидуальных значений. Тем не менее, для ряда статистических процедур, таких как расчет t-критерия Стьюдента или модифицированного критерия Уэлча [</w:t>
      </w:r>
      <w:r>
        <w:fldChar w:fldCharType="begin"/>
      </w:r>
      <w:r>
        <w:instrText xml:space="preserve"> REF _Ref239761497 \r \h </w:instrText>
      </w:r>
      <w:r>
        <w:fldChar w:fldCharType="separate"/>
      </w:r>
      <w:r>
        <w:t>4</w:t>
      </w:r>
      <w:r>
        <w:fldChar w:fldCharType="end"/>
      </w:r>
      <w:r>
        <w:t>], достаточно обладать ограниченным набором агрегированных показателей (средние значения, суммы квадратов отклонений и объемы выборок). Переход к описательным статистикам позволяет радикально упростить соблюдение требований по защите персональных данных, однако сам по себе не гарантирует достоверности вывода. Агрегатор должен иметь инструменты подтверждения того, что предоставленные числа корректно вычислены на основе реальных первичных данных, а не являются результатом фальсификации или технической ошибки.</w:t>
      </w:r>
    </w:p>
    <w:p>
      <w:r>
        <w:t>Решение задачи верификации данных без их раскрытия лежит в плоскости криптографических протоколов доказательства с нулевым разглашением (Zero-</w:t>
      </w:r>
      <w:proofErr w:type="spellStart"/>
      <w:r>
        <w:t>Knowledge</w:t>
      </w:r>
      <w:proofErr w:type="spellEnd"/>
      <w:r>
        <w:t xml:space="preserve"> </w:t>
      </w:r>
      <w:proofErr w:type="spellStart"/>
      <w:r>
        <w:t>Proofs</w:t>
      </w:r>
      <w:proofErr w:type="spellEnd"/>
      <w:r>
        <w:t xml:space="preserve">, ZKP). В частности, семейство протоколов </w:t>
      </w:r>
      <w:proofErr w:type="spellStart"/>
      <w:r>
        <w:t>zk</w:t>
      </w:r>
      <w:proofErr w:type="spellEnd"/>
      <w:r>
        <w:t>-STARK [</w:t>
      </w:r>
      <w:r>
        <w:fldChar w:fldCharType="begin"/>
      </w:r>
      <w:r>
        <w:instrText xml:space="preserve"> REF _Ref239761506 \r \h </w:instrText>
      </w:r>
      <w:r>
        <w:fldChar w:fldCharType="separate"/>
      </w:r>
      <w:r>
        <w:t>5</w:t>
      </w:r>
      <w:r>
        <w:fldChar w:fldCharType="end"/>
      </w:r>
      <w:r>
        <w:t xml:space="preserve">] обеспечивает вычислительную целостность, обладая при этом </w:t>
      </w:r>
      <w:proofErr w:type="spellStart"/>
      <w:r>
        <w:t>постквантовой</w:t>
      </w:r>
      <w:proofErr w:type="spellEnd"/>
      <w:r>
        <w:t xml:space="preserve"> стойкостью и высокой масштабируемостью. Использование </w:t>
      </w:r>
      <w:proofErr w:type="spellStart"/>
      <w:r>
        <w:t>zk</w:t>
      </w:r>
      <w:proofErr w:type="spellEnd"/>
      <w:r>
        <w:t>-STARK позволяет лаборатории генерировать математическое доказательство того, что её агрегированные статистики вычислены корректно. Верификатор же может подтвердить истинность этих расчетов, не получая доступа к исходным измерениям, что обеспечивает математическую гарантию достоверности входных данных при сохранении их полной конфиденциальности.</w:t>
      </w:r>
    </w:p>
    <w:p>
      <w:r>
        <w:t xml:space="preserve">Несмотря на эффективность описанной схемы для параметрических методов, в клинической практике распределение </w:t>
      </w:r>
      <w:proofErr w:type="spellStart"/>
      <w:r>
        <w:t>биомаркеров</w:t>
      </w:r>
      <w:proofErr w:type="spellEnd"/>
      <w:r>
        <w:t xml:space="preserve"> часто не соответствует нормальному закону, что требует применения непараметрических критериев. Наиболее распространенный критерий </w:t>
      </w:r>
      <w:proofErr w:type="spellStart"/>
      <w:r>
        <w:t>Вилкоксона</w:t>
      </w:r>
      <w:proofErr w:type="spellEnd"/>
      <w:r>
        <w:t xml:space="preserve">–Манна–Уитни сложно адаптировать к протоколам с нулевым разглашением, так как он основан на ранжировании объединенной выборки, требующем либо раскрытия всех значений, либо организации сложного многостороннего вычисления. В качестве альтернативы, совместимой с ограничениями на </w:t>
      </w:r>
      <w:r>
        <w:lastRenderedPageBreak/>
        <w:t>передачу данных, в данной работе рассматривается медианный тест Муда [</w:t>
      </w:r>
      <w:r>
        <w:fldChar w:fldCharType="begin"/>
      </w:r>
      <w:r>
        <w:instrText xml:space="preserve"> REF _Ref239761528 \r \h </w:instrText>
      </w:r>
      <w:r>
        <w:fldChar w:fldCharType="separate"/>
      </w:r>
      <w:r>
        <w:t>6</w:t>
      </w:r>
      <w:r>
        <w:fldChar w:fldCharType="end"/>
      </w:r>
      <w:r>
        <w:t>]. В классической реализации данный тест предполагает использование общей медианы в качестве порога для построения таблицы сопряженности 2×2, что в условиях распределенных вычислений требует итерационного поиска. Для оптимизации вычислительного процесса и сохранения конфиденциальности в настоящем исследовании предлагается использование упрощенного порога, определяемого как взвешенное среднее арифметическое медиан участвующих групп. Такая аппроксимация позволяет лабораториям независимо вычислять количество значений, строго превышающих порог, и передавать агрегатору только эти счетчики вместе с объемами выборок. Данный подход позволяет агрегатору вычислить точный p-уровень значимости по двустороннему критерию Фишера [</w:t>
      </w:r>
      <w:r>
        <w:rPr>
          <w:lang w:val="en-US"/>
        </w:rPr>
        <w:fldChar w:fldCharType="begin"/>
      </w:r>
      <w:r>
        <w:instrText xml:space="preserve"> </w:instrText>
      </w:r>
      <w:r>
        <w:rPr>
          <w:lang w:val="en-US"/>
        </w:rPr>
        <w:instrText>REF</w:instrText>
      </w:r>
      <w:r>
        <w:instrText xml:space="preserve"> _</w:instrText>
      </w:r>
      <w:r>
        <w:rPr>
          <w:lang w:val="en-US"/>
        </w:rPr>
        <w:instrText>Ref</w:instrText>
      </w:r>
      <w:r>
        <w:instrText>239761539 \</w:instrText>
      </w:r>
      <w:r>
        <w:rPr>
          <w:lang w:val="en-US"/>
        </w:rPr>
        <w:instrText>r</w:instrText>
      </w:r>
      <w:r>
        <w:instrText xml:space="preserve"> \</w:instrText>
      </w:r>
      <w:r>
        <w:rPr>
          <w:lang w:val="en-US"/>
        </w:rPr>
        <w:instrText>h</w:instrText>
      </w:r>
      <w:r>
        <w:instrText xml:space="preserve"> </w:instrText>
      </w:r>
      <w:r>
        <w:rPr>
          <w:lang w:val="en-US"/>
        </w:rPr>
      </w:r>
      <w:r>
        <w:rPr>
          <w:lang w:val="en-US"/>
        </w:rPr>
        <w:fldChar w:fldCharType="separate"/>
      </w:r>
      <w:r>
        <w:t>7</w:t>
      </w:r>
      <w:r>
        <w:rPr>
          <w:lang w:val="en-US"/>
        </w:rPr>
        <w:fldChar w:fldCharType="end"/>
      </w:r>
      <w:r>
        <w:t xml:space="preserve">], не имея доступа к индивидуальным данным. При этом использование протокола </w:t>
      </w:r>
      <w:proofErr w:type="spellStart"/>
      <w:r>
        <w:t>zk</w:t>
      </w:r>
      <w:proofErr w:type="spellEnd"/>
      <w:r>
        <w:t>-STARK гарантирует, что все переданные компоненты – от выборочных медиан до W-статистики критерия Шапиро–</w:t>
      </w:r>
      <w:proofErr w:type="spellStart"/>
      <w:r>
        <w:t>Уилка</w:t>
      </w:r>
      <w:proofErr w:type="spellEnd"/>
      <w:r>
        <w:t xml:space="preserve"> [</w:t>
      </w:r>
      <w:r>
        <w:fldChar w:fldCharType="begin"/>
      </w:r>
      <w:r>
        <w:instrText xml:space="preserve"> REF _Ref239761550 \r \h </w:instrText>
      </w:r>
      <w:r>
        <w:fldChar w:fldCharType="separate"/>
      </w:r>
      <w:r>
        <w:t>8</w:t>
      </w:r>
      <w:r>
        <w:fldChar w:fldCharType="end"/>
      </w:r>
      <w:r>
        <w:t>] и итоговых счетчиков – вычислены строго по исходным данным.</w:t>
      </w:r>
    </w:p>
    <w:p>
      <w:r>
        <w:t xml:space="preserve">Таким образом, целью настоящей работы является разработка и валидация комплексного криптографического протокола на основе </w:t>
      </w:r>
      <w:proofErr w:type="spellStart"/>
      <w:r>
        <w:t>zk</w:t>
      </w:r>
      <w:proofErr w:type="spellEnd"/>
      <w:r>
        <w:t>-STARK, позволяющего проводить достоверный статистический анализ результатов без раскрытия первичных данных.</w:t>
      </w:r>
    </w:p>
    <w:p>
      <w:pPr>
        <w:pStyle w:val="1"/>
      </w:pPr>
      <w:r>
        <w:t>Материалы и методы</w:t>
      </w:r>
    </w:p>
    <w:p>
      <w:r>
        <w:t>Разработанный протокол предполагает взаимодействие двух независимых лабораторий и центрального агрегатора. Основным принципом архитектуры является полное исключение передачи первичных данных пациентов (сырых результатов измерений) за пределы локальных информационных систем лабораторий. Процесс разделен на два последовательных раунда обмена данными, каждый из которых сопровождается генерацией криптографического доказательства целостности вычислений.</w:t>
      </w:r>
    </w:p>
    <w:p>
      <w:r>
        <w:t>В первом раунде каждая лаборатория в защищенной среде выполняет первичную обработку данных, вычисляя набор дескриптивных статистик: объем выборки, сумму значений, сумму квадратов значений, выборочную медиану, первый и третий квартили, а также критерий Шапиро–</w:t>
      </w:r>
      <w:proofErr w:type="spellStart"/>
      <w:r>
        <w:t>Уилка</w:t>
      </w:r>
      <w:proofErr w:type="spellEnd"/>
      <w:r>
        <w:t>. Результаты отправляются в публичный журнал (</w:t>
      </w:r>
      <m:oMath>
        <m:r>
          <w:rPr>
            <w:rFonts w:ascii="Cambria Math" w:hAnsi="Cambria Math"/>
          </w:rPr>
          <m:t>journal</m:t>
        </m:r>
      </m:oMath>
      <w:r>
        <w:t>), который вместе с математическим доказательством (</w:t>
      </w:r>
      <m:oMath>
        <m:r>
          <w:rPr>
            <w:rFonts w:ascii="Cambria Math" w:hAnsi="Cambria Math"/>
          </w:rPr>
          <m:t>proof</m:t>
        </m:r>
      </m:oMath>
      <w:r>
        <w:t>) образует квитанцию (</w:t>
      </w:r>
      <m:oMath>
        <m:r>
          <w:rPr>
            <w:rFonts w:ascii="Cambria Math" w:hAnsi="Cambria Math"/>
          </w:rPr>
          <m:t>receipt</m:t>
        </m:r>
      </m:oMath>
      <w:r>
        <w:t>).</w:t>
      </w:r>
    </w:p>
    <w:p>
      <w:r>
        <w:t xml:space="preserve">Агрегатор верифицирует квитанции и, если обе группы распределены нормально (при заданном α), выбирает критерий Уэлча. В противном случае выбирается тест Муда, и агрегатор вычисляет аппроксимированный порог </w:t>
      </w:r>
      <m:oMath>
        <m:acc>
          <m:accPr>
            <m:ctrlPr>
              <w:rPr>
                <w:rFonts w:ascii="Cambria Math" w:hAnsi="Cambria Math"/>
              </w:rPr>
            </m:ctrlPr>
          </m:accPr>
          <m:e>
            <m:r>
              <w:rPr>
                <w:rFonts w:ascii="Cambria Math" w:hAnsi="Cambria Math"/>
              </w:rPr>
              <m:t>M</m:t>
            </m:r>
          </m:e>
        </m:acc>
      </m:oMath>
      <w:r>
        <w:t xml:space="preserve"> как взвешенное среднее арифметическое мед</w:t>
      </w:r>
      <w:proofErr w:type="spellStart"/>
      <w:r>
        <w:t>иан</w:t>
      </w:r>
      <w:proofErr w:type="spellEnd"/>
      <w:r>
        <w:t xml:space="preserve"> групп. Вес каждой группы равен произведению её объёма на </w:t>
      </w:r>
      <w:proofErr w:type="spellStart"/>
      <w:r>
        <w:t>квартильную</w:t>
      </w:r>
      <w:proofErr w:type="spellEnd"/>
      <w:r>
        <w:t xml:space="preserve"> плотность:</w:t>
      </w:r>
    </w:p>
    <w:p>
      <w:pPr>
        <w:spacing w:before="100" w:beforeAutospacing="1" w:after="100" w:afterAutospacing="1"/>
        <w:ind w:firstLine="0"/>
      </w:pPr>
      <m:oMathPara>
        <m:oMath>
          <m:acc>
            <m:accPr>
              <m:ctrlPr>
                <w:rPr>
                  <w:rFonts w:ascii="Cambria Math" w:hAnsi="Cambria Math"/>
                </w:rPr>
              </m:ctrlPr>
            </m:accPr>
            <m:e>
              <m:r>
                <w:rPr>
                  <w:rFonts w:ascii="Cambria Math" w:hAnsi="Cambria Math"/>
                </w:rPr>
                <m:t>M</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med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lang w:val="en-US"/>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med</m:t>
                  </m:r>
                </m:e>
                <m:sub>
                  <m:r>
                    <w:rPr>
                      <w:rFonts w:ascii="Cambria Math" w:hAnsi="Cambria Math"/>
                    </w:rPr>
                    <m:t>2</m:t>
                  </m:r>
                </m:sub>
              </m:sSub>
            </m:num>
            <m:den>
              <m:sSub>
                <m:sSubPr>
                  <m:ctrlPr>
                    <w:rPr>
                      <w:rFonts w:ascii="Cambria Math" w:hAnsi="Cambria Math"/>
                      <w:i/>
                    </w:rPr>
                  </m:ctrlPr>
                </m:sSubPr>
                <m:e>
                  <m:r>
                    <w:rPr>
                      <w:rFonts w:ascii="Cambria Math" w:hAnsi="Cambria Math"/>
                      <w:lang w:val="en-US"/>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lang w:val="en-US"/>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en>
          </m:f>
        </m:oMath>
      </m:oMathPara>
    </w:p>
    <w:p>
      <w:pPr>
        <w:rPr>
          <w:rFonts w:eastAsiaTheme="minorEastAsia"/>
        </w:rPr>
      </w:pPr>
      <w:r>
        <w:rPr>
          <w:iCs/>
        </w:rPr>
        <w:t xml:space="preserve">где </w:t>
      </w:r>
      <m:oMath>
        <m:sSub>
          <m:sSubPr>
            <m:ctrlPr>
              <w:rPr>
                <w:rFonts w:ascii="Cambria Math" w:hAnsi="Cambria Math"/>
                <w:i/>
              </w:rPr>
            </m:ctrlPr>
          </m:sSubPr>
          <m:e>
            <m:r>
              <w:rPr>
                <w:rFonts w:ascii="Cambria Math" w:hAnsi="Cambria Math"/>
              </w:rPr>
              <m:t>d</m:t>
            </m:r>
          </m:e>
          <m:sub>
            <m:r>
              <w:rPr>
                <w:rFonts w:ascii="Cambria Math" w:hAnsi="Cambria Math"/>
                <w:lang w:val="en-US"/>
              </w:rPr>
              <m:t>j</m:t>
            </m:r>
          </m:sub>
        </m:sSub>
      </m:oMath>
      <w:r>
        <w:rPr>
          <w:rFonts w:eastAsiaTheme="minorEastAsia"/>
        </w:rPr>
        <w:t xml:space="preserve"> – квартильная плотность (</w:t>
      </w:r>
      <m:oMath>
        <m:f>
          <m:fPr>
            <m:type m:val="lin"/>
            <m:ctrlPr>
              <w:rPr>
                <w:rFonts w:ascii="Cambria Math" w:eastAsiaTheme="minorEastAsia" w:hAnsi="Cambria Math"/>
                <w:i/>
                <w:lang w:val="en-US"/>
              </w:rPr>
            </m:ctrlPr>
          </m:fPr>
          <m:num>
            <m:r>
              <w:rPr>
                <w:rFonts w:ascii="Cambria Math" w:eastAsiaTheme="minorEastAsia" w:hAnsi="Cambria Math"/>
              </w:rPr>
              <m:t>0,5</m:t>
            </m:r>
          </m:num>
          <m:den>
            <m:sSub>
              <m:sSubPr>
                <m:ctrlPr>
                  <w:rPr>
                    <w:rFonts w:ascii="Cambria Math" w:hAnsi="Cambria Math"/>
                    <w:i/>
                  </w:rPr>
                </m:ctrlPr>
              </m:sSubPr>
              <m:e>
                <m:r>
                  <w:rPr>
                    <w:rFonts w:ascii="Cambria Math" w:hAnsi="Cambria Math"/>
                  </w:rPr>
                  <m:t>IQR</m:t>
                </m:r>
              </m:e>
              <m:sub>
                <m:r>
                  <w:rPr>
                    <w:rFonts w:ascii="Cambria Math" w:hAnsi="Cambria Math"/>
                  </w:rPr>
                  <m:t>j</m:t>
                </m:r>
              </m:sub>
            </m:sSub>
          </m:den>
        </m:f>
      </m:oMath>
      <w:r>
        <w:rPr>
          <w:rFonts w:eastAsiaTheme="minorEastAsia"/>
        </w:rPr>
        <w:t xml:space="preserve">), </w:t>
      </w:r>
      <m:oMath>
        <m:sSub>
          <m:sSubPr>
            <m:ctrlPr>
              <w:rPr>
                <w:rFonts w:ascii="Cambria Math" w:hAnsi="Cambria Math"/>
                <w:i/>
              </w:rPr>
            </m:ctrlPr>
          </m:sSubPr>
          <m:e>
            <m:r>
              <w:rPr>
                <w:rFonts w:ascii="Cambria Math" w:hAnsi="Cambria Math"/>
                <w:lang w:val="en-US"/>
              </w:rPr>
              <m:t>n</m:t>
            </m:r>
          </m:e>
          <m:sub>
            <m:r>
              <w:rPr>
                <w:rFonts w:ascii="Cambria Math" w:hAnsi="Cambria Math"/>
              </w:rPr>
              <m:t>j</m:t>
            </m:r>
          </m:sub>
        </m:sSub>
      </m:oMath>
      <w:r>
        <w:rPr>
          <w:rFonts w:eastAsiaTheme="minorEastAsia"/>
        </w:rPr>
        <w:t xml:space="preserve"> – объем группы, </w:t>
      </w:r>
      <m:oMath>
        <m:sSub>
          <m:sSubPr>
            <m:ctrlPr>
              <w:rPr>
                <w:rFonts w:ascii="Cambria Math" w:hAnsi="Cambria Math"/>
                <w:i/>
              </w:rPr>
            </m:ctrlPr>
          </m:sSubPr>
          <m:e>
            <m:r>
              <w:rPr>
                <w:rFonts w:ascii="Cambria Math" w:hAnsi="Cambria Math"/>
              </w:rPr>
              <m:t>med</m:t>
            </m:r>
          </m:e>
          <m:sub>
            <m:r>
              <w:rPr>
                <w:rFonts w:ascii="Cambria Math" w:hAnsi="Cambria Math"/>
                <w:lang w:val="en-US"/>
              </w:rPr>
              <m:t>j</m:t>
            </m:r>
          </m:sub>
        </m:sSub>
      </m:oMath>
      <w:r>
        <w:rPr>
          <w:rFonts w:eastAsiaTheme="minorEastAsia"/>
        </w:rPr>
        <w:t xml:space="preserve"> – медиана.</w:t>
      </w:r>
    </w:p>
    <w:p>
      <w:pPr>
        <w:spacing w:before="100" w:beforeAutospacing="1"/>
      </w:pPr>
      <w:r>
        <w:t>Такое взвешивание подстраивает порог под объединённое распределение: группа с большим объёмом и меньшим разбросом сильнее притягивает общую медиану к себе. Если обе группы вырождены по размаху (</w:t>
      </w:r>
      <w:proofErr w:type="spellStart"/>
      <w:r>
        <w:t>межквартильный</w:t>
      </w:r>
      <w:proofErr w:type="spellEnd"/>
      <w:r>
        <w:t xml:space="preserve"> размах равен нулю), веса сводятся к объёмам групп.</w:t>
      </w:r>
    </w:p>
    <w:p>
      <w:r>
        <w:t xml:space="preserve">Второй раунд инициируется в случае выбора теста Муда. Лаборатории получают порог </w:t>
      </w:r>
      <m:oMath>
        <m:acc>
          <m:accPr>
            <m:ctrlPr>
              <w:rPr>
                <w:rFonts w:ascii="Cambria Math" w:hAnsi="Cambria Math"/>
              </w:rPr>
            </m:ctrlPr>
          </m:accPr>
          <m:e>
            <m:r>
              <w:rPr>
                <w:rFonts w:ascii="Cambria Math" w:hAnsi="Cambria Math"/>
              </w:rPr>
              <m:t>M</m:t>
            </m:r>
          </m:e>
        </m:acc>
      </m:oMath>
      <w:r>
        <w:t xml:space="preserve"> и вычисляют количество значений, превышающих его, после чего передают данные агрегатору для построения таблицы сопряженности. Итоговый результат (p-уровень значимости) формируется агрегатором и сопровождается комплексным доказательством, подтверждающим, что все промежуточные этапы – от первичного суммирования до </w:t>
      </w:r>
      <w:r>
        <w:lastRenderedPageBreak/>
        <w:t>финального теста – выполнены строго по заданному алгоритму без искажения входных данных.</w:t>
      </w:r>
    </w:p>
    <w:p>
      <w:r>
        <w:t xml:space="preserve">Параметрическое сравнение выполняется на основании t-критерия в модификации Уэлча, который не требует равенства дисперсий в группах. Расчет статистики </w:t>
      </w:r>
      <m:oMath>
        <m:r>
          <w:rPr>
            <w:rFonts w:ascii="Cambria Math" w:hAnsi="Cambria Math"/>
          </w:rPr>
          <m:t>t</m:t>
        </m:r>
      </m:oMath>
      <w:r>
        <w:t xml:space="preserve"> и степеней свободы по методу Саттертуэйта производится исключительно на основе суммарных статистик, предоставленных лабораториями в первом ра</w:t>
      </w:r>
      <w:proofErr w:type="spellStart"/>
      <w:r>
        <w:t>унде</w:t>
      </w:r>
      <w:proofErr w:type="spellEnd"/>
      <w:r>
        <w:t>. Вычисление двустороннего p-значения реализуется через расчет регулярной неполной бета-функции.</w:t>
      </w:r>
    </w:p>
    <w:p>
      <w:r>
        <w:t xml:space="preserve">Непараметрический анализ использует медианный тест Муда, который свободен от распределения и осуществляет статистический вывод на основе таблицы сопряженности 2×2, где фиксируется число значений выше и ниже заданного порога в каждой группе. Получение точного уровня значимости </w:t>
      </w:r>
      <w:r>
        <w:rPr>
          <w:lang w:val="en-US"/>
        </w:rPr>
        <w:t>p</w:t>
      </w:r>
      <w:r>
        <w:t xml:space="preserve"> возможно исходя из результатов двустороннего критерия Фишера.</w:t>
      </w:r>
    </w:p>
    <w:p>
      <w:r>
        <w:t xml:space="preserve">Техническая реализация протокола выполнена с использованием виртуальной машины доказательств с нулевым разглашением </w:t>
      </w:r>
      <w:proofErr w:type="spellStart"/>
      <w:r>
        <w:t>Risc</w:t>
      </w:r>
      <w:proofErr w:type="spellEnd"/>
      <w:r>
        <w:t xml:space="preserve"> Zero </w:t>
      </w:r>
      <w:proofErr w:type="spellStart"/>
      <w:r>
        <w:t>zkVM</w:t>
      </w:r>
      <w:proofErr w:type="spellEnd"/>
      <w:r>
        <w:t>. Протокол организован как иерархическая композиция доказательств: агрегатор внутри своей гостевой среды верифицирует криптографические журналы, полученные от лабораторий, и сопоставляет их содержимое с входными параметрами текущего раунда (рисунок</w:t>
      </w:r>
      <w:r>
        <w:fldChar w:fldCharType="begin"/>
      </w:r>
      <w:r>
        <w:instrText xml:space="preserve"> REF _Ref239763367 \h \##</w:instrText>
      </w:r>
      <w:r>
        <w:fldChar w:fldCharType="separate"/>
      </w:r>
      <w:r>
        <w:t xml:space="preserve"> 1</w:t>
      </w:r>
      <w:r>
        <w:fldChar w:fldCharType="end"/>
      </w:r>
      <w:r>
        <w:t>).</w:t>
      </w:r>
    </w:p>
    <w:p>
      <w:pPr>
        <w:keepNext/>
        <w:spacing w:before="100" w:beforeAutospacing="1"/>
        <w:ind w:firstLine="0"/>
      </w:pPr>
      <w:r>
        <w:object w:dxaOrig="12949" w:dyaOrig="45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164.4pt" o:ole="">
            <v:imagedata r:id="rId5" o:title=""/>
          </v:shape>
          <o:OLEObject Type="Embed" ProgID="Visio.Drawing.15" ShapeID="_x0000_i1025" DrawAspect="Content" ObjectID="_1850444989" r:id="rId6"/>
        </w:object>
      </w:r>
    </w:p>
    <w:p>
      <w:pPr>
        <w:pStyle w:val="af8"/>
      </w:pPr>
      <w:bookmarkStart w:id="0" w:name="_Ref239763367"/>
      <w:r>
        <w:t xml:space="preserve">Рисунок </w:t>
      </w:r>
      <w:fldSimple w:instr=" SEQ Рисунок \* ARABIC ">
        <w:r>
          <w:rPr>
            <w:noProof/>
          </w:rPr>
          <w:t>1</w:t>
        </w:r>
      </w:fldSimple>
      <w:bookmarkEnd w:id="0"/>
      <w:r>
        <w:t>. Схема обмена данными между лабораториями и агрегатором</w:t>
      </w:r>
    </w:p>
    <w:p>
      <w:r>
        <w:t>В работе задействованы три вычислительные программы: две программы-лаборатории (по одной на каждую группу сравнения) и программа-агрегатор, которая в первом раунде выполняет подготовительную стадию, а во втором – заключительную. Каждая передача данных между сторонами оформляется отдельной квитанцией: программа читает свой вход, исполняет вычисления и публикует в журнал только агрегированные результаты. Сырые значения групп никуда не покидают лабораторию и в журнал никогда не попадают.</w:t>
      </w:r>
    </w:p>
    <w:p>
      <w:r>
        <w:t>Всего на один сценарий формируется шесть квитанций: по две от каждой лаборатории и по две от агрегатора. Ключевая особенность протокола – композиция проверок. Агрегатор в обоих раундах проверяет квитанции обеих лабораторий прямо внутри собственной вычислительной среды: журналы лабораторий передаются агрегатору байтами, он удостоверяется, что эти байты и есть журналы настоящих лабораторных квитанций, а затем сверяет с ними структурированные данные, на которых строит свои расчёты. Благодаря этому лаборатория не может сообщить агрегатору одно, а в журнале засвидетельствовать другое: итоговая квитанция агрегатора достоверна только при корректности квитанций обеих лабораторий и полном совпадении их журналов с переданными данными. Дополнительно внешняя проверка удостоверяет целевой результат в целом.</w:t>
      </w:r>
    </w:p>
    <w:p>
      <w:r>
        <w:t>Из массива сырых значений каждая лаборатория вычисляет агрегаты сводной статистики (объём выборки, сумму значений, сумму квадратов значений, результат критерия Шапиро</w:t>
      </w:r>
      <w:r>
        <w:t>–</w:t>
      </w:r>
      <w:proofErr w:type="spellStart"/>
      <w:r>
        <w:t>Уилка</w:t>
      </w:r>
      <w:proofErr w:type="spellEnd"/>
      <w:r>
        <w:t>, медиану и квартили группы).</w:t>
      </w:r>
    </w:p>
    <w:p>
      <w:r>
        <w:lastRenderedPageBreak/>
        <w:t xml:space="preserve">Агрегатор в ходе первого раунда получает результаты обеих лабораторий, уровень значимости α и байты журналов их квитанций. После успешной верификации квитанций по результатам журналов происходит выбор метода для анализа. Если обе группы имеют нормальное распределение – выбирается критерий Уэлча, иначе – Муда. Затем агрегатор публикует своё решение: выбранный критерий, уровень значимости и оценку </w:t>
      </w:r>
      <m:oMath>
        <m:acc>
          <m:accPr>
            <m:ctrlPr>
              <w:rPr>
                <w:rFonts w:ascii="Cambria Math" w:hAnsi="Cambria Math"/>
              </w:rPr>
            </m:ctrlPr>
          </m:accPr>
          <m:e>
            <m:r>
              <w:rPr>
                <w:rFonts w:ascii="Cambria Math" w:hAnsi="Cambria Math"/>
              </w:rPr>
              <m:t>M</m:t>
            </m:r>
          </m:e>
        </m:acc>
      </m:oMath>
      <w:r>
        <w:t xml:space="preserve"> (для теста Муда).</w:t>
      </w:r>
    </w:p>
    <w:p>
      <w:pPr>
        <w:rPr>
          <w:rFonts w:eastAsiaTheme="minorEastAsia"/>
        </w:rPr>
      </w:pPr>
      <w:r>
        <w:t xml:space="preserve">На втором раунде опубликованное решение передаётся лабораториям, которые заново оценивают агрегаты и, если выбран критерий Муда, рассчитывают также число наблюдений, строго превышающих </w:t>
      </w:r>
      <m:oMath>
        <m:acc>
          <m:accPr>
            <m:ctrlPr>
              <w:rPr>
                <w:rFonts w:ascii="Cambria Math" w:hAnsi="Cambria Math"/>
              </w:rPr>
            </m:ctrlPr>
          </m:accPr>
          <m:e>
            <m:r>
              <w:rPr>
                <w:rFonts w:ascii="Cambria Math" w:hAnsi="Cambria Math"/>
              </w:rPr>
              <m:t>M</m:t>
            </m:r>
          </m:e>
        </m:acc>
      </m:oMath>
      <w:r>
        <w:rPr>
          <w:rFonts w:eastAsiaTheme="minorEastAsia"/>
        </w:rPr>
        <w:t>. Повторный расчёт необходим, так как каждый запуск программы лаборат</w:t>
      </w:r>
      <w:proofErr w:type="spellStart"/>
      <w:r>
        <w:rPr>
          <w:rFonts w:eastAsiaTheme="minorEastAsia"/>
        </w:rPr>
        <w:t>орий</w:t>
      </w:r>
      <w:proofErr w:type="spellEnd"/>
      <w:r>
        <w:rPr>
          <w:rFonts w:eastAsiaTheme="minorEastAsia"/>
        </w:rPr>
        <w:t xml:space="preserve"> независим от предыдущего и уже полученные результаты недоступны в следующем раунде.</w:t>
      </w:r>
    </w:p>
    <w:p>
      <w:r>
        <w:t xml:space="preserve">На заключительной стадии агрегатор снова проверяет квитанции обеих лабораторий внутри своей среды и сверяет их журналы с переданными данными. Исходя из выбранного в первом раунде критерия вычисляются необходимые данные (для Уэлча – t-статистика, число степеней свободы и </w:t>
      </w:r>
      <w:r>
        <w:rPr>
          <w:lang w:val="en-US"/>
        </w:rPr>
        <w:t>p</w:t>
      </w:r>
      <w:r>
        <w:t xml:space="preserve">-значение, для Муда – только </w:t>
      </w:r>
      <w:r>
        <w:rPr>
          <w:lang w:val="en-US"/>
        </w:rPr>
        <w:t>p</w:t>
      </w:r>
      <w:r>
        <w:t>-значение при помощи критерия Фишера), дополнительно передаются средние, медианы и квартили. Итоговое доказательство, публикуемое агрегатором, считается достоверным только в том случае, если корректны все четыре лабораторные квитанции и обе квитанции агрегатора, а их журналы (содержащие промежуточные статистики) математически согласованы.</w:t>
      </w:r>
    </w:p>
    <w:p>
      <w:r>
        <w:t xml:space="preserve">Система поддерживает два режима работы: режим симуляции для отладки и полнофункциональный режим для генерации реальных STARK-доказательств, обеспечивающих </w:t>
      </w:r>
      <w:proofErr w:type="spellStart"/>
      <w:r>
        <w:t>постквантовую</w:t>
      </w:r>
      <w:proofErr w:type="spellEnd"/>
      <w:r>
        <w:t xml:space="preserve"> стойкость и математическую гарантию корректности всех вычислений, выполненных над исходными данными.</w:t>
      </w:r>
    </w:p>
    <w:p>
      <w:r>
        <w:t xml:space="preserve">Верификация точности протокола проводилась на матрице из 20 сценариев, охватывающей широкий спектр клинических ситуаций. Тестовые наборы включали выборки с нормальным, </w:t>
      </w:r>
      <w:proofErr w:type="spellStart"/>
      <w:r>
        <w:t>полунормальным</w:t>
      </w:r>
      <w:proofErr w:type="spellEnd"/>
      <w:r>
        <w:t xml:space="preserve">, логнормальным, гамма-, экспоненциальным, пуассоновским и равномерным распределениями, данные с тяжёлыми хвостами (распределение Стьюдента с </w:t>
      </w:r>
      <m:oMath>
        <m:r>
          <w:rPr>
            <w:rFonts w:ascii="Cambria Math" w:hAnsi="Cambria Math"/>
          </w:rPr>
          <m:t>df=2 и 3</m:t>
        </m:r>
      </m:oMath>
      <w:r>
        <w:t>), бимодальные выборки, а также дискретные равномерные значения. В матрицу сценариев были включены как малые выборки (</w:t>
      </w:r>
      <m:oMath>
        <m:r>
          <w:rPr>
            <w:rFonts w:ascii="Cambria Math" w:hAnsi="Cambria Math"/>
          </w:rPr>
          <m:t>n=3</m:t>
        </m:r>
      </m:oMath>
      <w:r>
        <w:t>), находящиеся на границе применимости критерия Шапиро–</w:t>
      </w:r>
      <w:proofErr w:type="spellStart"/>
      <w:r>
        <w:t>Уилка</w:t>
      </w:r>
      <w:proofErr w:type="spellEnd"/>
      <w:r>
        <w:t>, так и крупные ма</w:t>
      </w:r>
      <w:proofErr w:type="spellStart"/>
      <w:r>
        <w:t>ссивы</w:t>
      </w:r>
      <w:proofErr w:type="spellEnd"/>
      <w:r>
        <w:t xml:space="preserve"> (</w:t>
      </w:r>
      <m:oMath>
        <m:r>
          <w:rPr>
            <w:rFonts w:ascii="Cambria Math" w:hAnsi="Cambria Math"/>
          </w:rPr>
          <m:t>n=1000</m:t>
        </m:r>
      </m:oMath>
      <w:r>
        <w:t>) для оценки производительности.</w:t>
      </w:r>
    </w:p>
    <w:p>
      <w:r>
        <w:t>В качестве эталона сравнения использовалась среда статистических вычислений R версии 4.3.1. В условиях каждого сценария вычислялись значения статистик критериев Шапиро–</w:t>
      </w:r>
      <w:proofErr w:type="spellStart"/>
      <w:r>
        <w:t>Уилка</w:t>
      </w:r>
      <w:proofErr w:type="spellEnd"/>
      <w:r>
        <w:t xml:space="preserve">, Уэлча и Муда. Критерием успешной валидации протокола считалось достижение относительной погрешности не более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t>. Отдельным сценарием тестировалась устойчивость системы к вырожденным данным (константная группа), где ожидаемое падение критерия Шапиро–Уилка корректно обрабатывалось протоколом как исключительная ситуация.</w:t>
      </w:r>
    </w:p>
    <w:p>
      <w:r>
        <w:t xml:space="preserve">Разработка и запуск всех компонентов системы проведены при помощи языка </w:t>
      </w:r>
      <w:r>
        <w:rPr>
          <w:lang w:val="en-US"/>
        </w:rPr>
        <w:t>Rust</w:t>
      </w:r>
      <w:r>
        <w:t xml:space="preserve"> в среде WSL2 на базе дистрибутива Ubuntu.</w:t>
      </w:r>
    </w:p>
    <w:p>
      <w:pPr>
        <w:pStyle w:val="1"/>
      </w:pPr>
      <w:r>
        <w:t>Результаты</w:t>
      </w:r>
    </w:p>
    <w:p>
      <w:r>
        <w:t>Валидация разработанного протокола на матрице из 20 сценариев (таблица</w:t>
      </w:r>
      <w:r>
        <w:fldChar w:fldCharType="begin"/>
      </w:r>
      <w:r>
        <w:instrText xml:space="preserve"> REF _Ref239677565 \h \##</w:instrText>
      </w:r>
      <w:r>
        <w:fldChar w:fldCharType="separate"/>
      </w:r>
      <w:r>
        <w:t xml:space="preserve"> 1</w:t>
      </w:r>
      <w:r>
        <w:fldChar w:fldCharType="end"/>
      </w:r>
      <w:r>
        <w:t xml:space="preserve">) показала высокую </w:t>
      </w:r>
      <w:proofErr w:type="spellStart"/>
      <w:r>
        <w:t>прецизионность</w:t>
      </w:r>
      <w:proofErr w:type="spellEnd"/>
      <w:r>
        <w:t xml:space="preserve"> расчетов, а максимальная относительная ошибка p-значений не превышала </w:t>
      </w:r>
      <m:oMath>
        <m:r>
          <w:rPr>
            <w:rFonts w:ascii="Cambria Math" w:hAnsi="Cambria Math"/>
          </w:rPr>
          <m:t>1,8</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-12</m:t>
            </m:r>
          </m:sup>
        </m:sSup>
      </m:oMath>
      <w:r>
        <w:t xml:space="preserve">. В большинстве случаев отклонение находилось в пределах </w:t>
      </w:r>
      <m:oMath>
        <m:sSup>
          <m:sSupPr>
            <m:ctrlPr>
              <w:rPr>
                <w:rFonts w:ascii="Cambria Math" w:hAnsi="Cambria Math"/>
                <w:i/>
              </w:rPr>
            </m:ctrlPr>
          </m:sSupPr>
          <m:e>
            <m:r>
              <w:rPr>
                <w:rFonts w:ascii="Cambria Math" w:hAnsi="Cambria Math"/>
              </w:rPr>
              <m:t>10</m:t>
            </m:r>
          </m:e>
          <m:sup>
            <m:r>
              <w:rPr>
                <w:rFonts w:ascii="Cambria Math" w:hAnsi="Cambria Math"/>
              </w:rPr>
              <m:t>-14</m:t>
            </m:r>
          </m:sup>
        </m:sSup>
      </m:oMath>
      <w:r>
        <w:t>. С точки зрения клинической лабораторной практики такая погрешность является пренебрежимо малой и не оказывает влияния на интерпретацию результатов исследования.</w:t>
      </w:r>
    </w:p>
    <w:p>
      <w:pPr>
        <w:pStyle w:val="af6"/>
      </w:pPr>
      <w:bookmarkStart w:id="1" w:name="_Ref239677565"/>
      <w:r>
        <w:t xml:space="preserve">Таблица </w:t>
      </w:r>
      <w:fldSimple w:instr=" SEQ Таблица \* ARABIC ">
        <w:r>
          <w:rPr>
            <w:noProof/>
          </w:rPr>
          <w:t>1</w:t>
        </w:r>
      </w:fldSimple>
      <w:bookmarkEnd w:id="1"/>
      <w:r>
        <w:t>. Результаты валидации протокола на тестовых сценариях (режим симуляции)</w:t>
      </w:r>
    </w:p>
    <w:tbl>
      <w:tblPr>
        <w:tblStyle w:val="aff0"/>
        <w:tblW w:w="0" w:type="auto"/>
        <w:tblLook w:val="04A0" w:firstRow="1" w:lastRow="0" w:firstColumn="1" w:lastColumn="0" w:noHBand="0" w:noVBand="1"/>
      </w:tblPr>
      <w:tblGrid>
        <w:gridCol w:w="576"/>
        <w:gridCol w:w="3680"/>
        <w:gridCol w:w="1557"/>
        <w:gridCol w:w="1178"/>
        <w:gridCol w:w="1124"/>
        <w:gridCol w:w="1230"/>
      </w:tblGrid>
      <w:tr>
        <w:tc>
          <w:tcPr>
            <w:tcW w:w="576" w:type="dxa"/>
            <w:noWrap/>
            <w:vAlign w:val="center"/>
            <w:hideMark/>
          </w:tcPr>
          <w:p>
            <w:pPr>
              <w:ind w:firstLine="0"/>
              <w:jc w:val="center"/>
              <w:rPr>
                <w:rFonts w:eastAsia="Times New Roman"/>
                <w:b/>
                <w:bCs/>
                <w:color w:val="000000"/>
                <w:szCs w:val="24"/>
                <w:lang w:eastAsia="ru-RU"/>
              </w:rPr>
            </w:pPr>
            <w:r>
              <w:rPr>
                <w:rFonts w:eastAsia="Times New Roman"/>
                <w:b/>
                <w:bCs/>
                <w:color w:val="000000"/>
                <w:szCs w:val="24"/>
                <w:lang w:val="en-US" w:eastAsia="ru-RU"/>
              </w:rPr>
              <w:t>ID</w:t>
            </w:r>
          </w:p>
        </w:tc>
        <w:tc>
          <w:tcPr>
            <w:tcW w:w="3680" w:type="dxa"/>
            <w:noWrap/>
            <w:vAlign w:val="center"/>
            <w:hideMark/>
          </w:tcPr>
          <w:p>
            <w:pPr>
              <w:ind w:firstLine="0"/>
              <w:jc w:val="center"/>
              <w:rPr>
                <w:rFonts w:eastAsia="Times New Roman"/>
                <w:b/>
                <w:bCs/>
                <w:color w:val="000000"/>
                <w:szCs w:val="24"/>
                <w:lang w:eastAsia="ru-RU"/>
              </w:rPr>
            </w:pPr>
            <w:r>
              <w:rPr>
                <w:rFonts w:eastAsia="Times New Roman"/>
                <w:b/>
                <w:bCs/>
                <w:color w:val="000000"/>
                <w:szCs w:val="24"/>
                <w:lang w:eastAsia="ru-RU"/>
              </w:rPr>
              <w:t>Описание распределения выборки, дисперсии (</w:t>
            </w:r>
            <w:r>
              <w:rPr>
                <w:rFonts w:eastAsia="Times New Roman"/>
                <w:b/>
                <w:bCs/>
                <w:color w:val="000000"/>
                <w:szCs w:val="24"/>
                <w:lang w:val="en-US" w:eastAsia="ru-RU"/>
              </w:rPr>
              <w:t>n</w:t>
            </w:r>
            <w:r>
              <w:rPr>
                <w:rFonts w:eastAsia="Times New Roman"/>
                <w:b/>
                <w:bCs/>
                <w:color w:val="000000"/>
                <w:szCs w:val="24"/>
                <w:vertAlign w:val="subscript"/>
                <w:lang w:eastAsia="ru-RU"/>
              </w:rPr>
              <w:t>1</w:t>
            </w:r>
            <w:r>
              <w:rPr>
                <w:rFonts w:eastAsia="Times New Roman"/>
                <w:b/>
                <w:bCs/>
                <w:color w:val="000000"/>
                <w:szCs w:val="24"/>
                <w:lang w:eastAsia="ru-RU"/>
              </w:rPr>
              <w:t>/</w:t>
            </w:r>
            <w:r>
              <w:rPr>
                <w:rFonts w:eastAsia="Times New Roman"/>
                <w:b/>
                <w:bCs/>
                <w:color w:val="000000"/>
                <w:szCs w:val="24"/>
                <w:lang w:val="en-US" w:eastAsia="ru-RU"/>
              </w:rPr>
              <w:t>n</w:t>
            </w:r>
            <w:r>
              <w:rPr>
                <w:rFonts w:eastAsia="Times New Roman"/>
                <w:b/>
                <w:bCs/>
                <w:color w:val="000000"/>
                <w:szCs w:val="24"/>
                <w:vertAlign w:val="subscript"/>
                <w:lang w:eastAsia="ru-RU"/>
              </w:rPr>
              <w:t>2</w:t>
            </w:r>
            <w:r>
              <w:rPr>
                <w:rFonts w:eastAsia="Times New Roman"/>
                <w:b/>
                <w:bCs/>
                <w:color w:val="000000"/>
                <w:szCs w:val="24"/>
                <w:lang w:eastAsia="ru-RU"/>
              </w:rPr>
              <w:t>)</w:t>
            </w:r>
          </w:p>
        </w:tc>
        <w:tc>
          <w:tcPr>
            <w:tcW w:w="1557" w:type="dxa"/>
            <w:noWrap/>
            <w:vAlign w:val="center"/>
            <w:hideMark/>
          </w:tcPr>
          <w:p>
            <w:pPr>
              <w:ind w:firstLine="0"/>
              <w:jc w:val="center"/>
              <w:rPr>
                <w:rFonts w:eastAsia="Times New Roman"/>
                <w:b/>
                <w:bCs/>
                <w:color w:val="000000"/>
                <w:szCs w:val="24"/>
                <w:lang w:eastAsia="ru-RU"/>
              </w:rPr>
            </w:pPr>
            <w:r>
              <w:rPr>
                <w:rFonts w:eastAsia="Times New Roman"/>
                <w:b/>
                <w:bCs/>
                <w:color w:val="000000"/>
                <w:szCs w:val="24"/>
                <w:lang w:eastAsia="ru-RU"/>
              </w:rPr>
              <w:t>p-значение (тест)</w:t>
            </w:r>
          </w:p>
        </w:tc>
        <w:tc>
          <w:tcPr>
            <w:tcW w:w="1178" w:type="dxa"/>
            <w:noWrap/>
            <w:vAlign w:val="center"/>
            <w:hideMark/>
          </w:tcPr>
          <w:p>
            <w:pPr>
              <w:ind w:firstLine="0"/>
              <w:jc w:val="center"/>
              <w:rPr>
                <w:rFonts w:eastAsia="Times New Roman"/>
                <w:b/>
                <w:bCs/>
                <w:color w:val="000000"/>
                <w:szCs w:val="24"/>
                <w:lang w:eastAsia="ru-RU"/>
              </w:rPr>
            </w:pPr>
            <w:r>
              <w:rPr>
                <w:rFonts w:eastAsia="Times New Roman"/>
                <w:b/>
                <w:bCs/>
                <w:color w:val="000000"/>
                <w:szCs w:val="24"/>
                <w:lang w:eastAsia="ru-RU"/>
              </w:rPr>
              <w:t xml:space="preserve">Ошибка </w:t>
            </w:r>
          </w:p>
        </w:tc>
        <w:tc>
          <w:tcPr>
            <w:tcW w:w="1124" w:type="dxa"/>
            <w:noWrap/>
            <w:vAlign w:val="center"/>
            <w:hideMark/>
          </w:tcPr>
          <w:p>
            <w:pPr>
              <w:ind w:firstLine="0"/>
              <w:jc w:val="center"/>
              <w:rPr>
                <w:rFonts w:eastAsia="Times New Roman"/>
                <w:b/>
                <w:bCs/>
                <w:color w:val="000000"/>
                <w:szCs w:val="24"/>
                <w:lang w:eastAsia="ru-RU"/>
              </w:rPr>
            </w:pPr>
            <w:r>
              <w:rPr>
                <w:rFonts w:eastAsia="Times New Roman"/>
                <w:b/>
                <w:bCs/>
                <w:color w:val="000000"/>
                <w:szCs w:val="24"/>
                <w:lang w:eastAsia="ru-RU"/>
              </w:rPr>
              <w:t>Время, с</w:t>
            </w:r>
          </w:p>
        </w:tc>
        <w:tc>
          <w:tcPr>
            <w:tcW w:w="1230" w:type="dxa"/>
            <w:noWrap/>
            <w:vAlign w:val="center"/>
            <w:hideMark/>
          </w:tcPr>
          <w:p>
            <w:pPr>
              <w:ind w:firstLine="0"/>
              <w:jc w:val="center"/>
              <w:rPr>
                <w:rFonts w:eastAsia="Times New Roman"/>
                <w:b/>
                <w:bCs/>
                <w:color w:val="000000"/>
                <w:szCs w:val="24"/>
                <w:lang w:eastAsia="ru-RU"/>
              </w:rPr>
            </w:pPr>
            <w:r>
              <w:rPr>
                <w:rFonts w:eastAsia="Times New Roman"/>
                <w:b/>
                <w:bCs/>
                <w:color w:val="000000"/>
                <w:szCs w:val="24"/>
                <w:lang w:eastAsia="ru-RU"/>
              </w:rPr>
              <w:t>Циклы</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lastRenderedPageBreak/>
              <w:t>n01</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Нормальные, равные (30/25)</w:t>
            </w:r>
          </w:p>
        </w:tc>
        <w:tc>
          <w:tcPr>
            <w:tcW w:w="1557" w:type="dxa"/>
            <w:noWrap/>
            <w:vAlign w:val="center"/>
            <w:hideMark/>
          </w:tcPr>
          <w:p>
            <w:pPr>
              <w:ind w:firstLine="0"/>
              <w:jc w:val="center"/>
            </w:pPr>
            <w:r>
              <w:t>0,240 (W)</w:t>
            </w:r>
          </w:p>
        </w:tc>
        <w:tc>
          <w:tcPr>
            <w:tcW w:w="1178" w:type="dxa"/>
            <w:noWrap/>
            <w:vAlign w:val="center"/>
            <w:hideMark/>
          </w:tcPr>
          <w:p>
            <w:pPr>
              <w:ind w:firstLine="0"/>
              <w:jc w:val="center"/>
              <w:rPr>
                <w:lang w:val="en-US"/>
              </w:rPr>
            </w:pPr>
            <w:r>
              <w:t>8,4</w:t>
            </w:r>
            <w:r>
              <w:rPr>
                <w:szCs w:val="24"/>
                <w:lang w:eastAsia="ru-RU"/>
              </w:rPr>
              <w:t>×10</w:t>
            </w:r>
            <w:r>
              <w:rPr>
                <w:szCs w:val="24"/>
                <w:vertAlign w:val="superscript"/>
                <w:lang w:eastAsia="ru-RU"/>
              </w:rPr>
              <w:t>-1</w:t>
            </w:r>
            <w:r>
              <w:rPr>
                <w:szCs w:val="24"/>
                <w:vertAlign w:val="superscript"/>
                <w:lang w:val="en-US" w:eastAsia="ru-RU"/>
              </w:rPr>
              <w:t>4</w:t>
            </w:r>
          </w:p>
        </w:tc>
        <w:tc>
          <w:tcPr>
            <w:tcW w:w="1124" w:type="dxa"/>
            <w:noWrap/>
            <w:vAlign w:val="center"/>
            <w:hideMark/>
          </w:tcPr>
          <w:p>
            <w:pPr>
              <w:ind w:firstLine="0"/>
              <w:jc w:val="center"/>
            </w:pPr>
            <w:r>
              <w:t>0,42</w:t>
            </w:r>
          </w:p>
        </w:tc>
        <w:tc>
          <w:tcPr>
            <w:tcW w:w="1230" w:type="dxa"/>
            <w:noWrap/>
            <w:vAlign w:val="center"/>
            <w:hideMark/>
          </w:tcPr>
          <w:p>
            <w:pPr>
              <w:ind w:firstLine="0"/>
              <w:jc w:val="center"/>
            </w:pPr>
            <w:r>
              <w:t>1 441 792</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n02</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Нормальные, смещенные (8/8)</w:t>
            </w:r>
          </w:p>
        </w:tc>
        <w:tc>
          <w:tcPr>
            <w:tcW w:w="1557" w:type="dxa"/>
            <w:noWrap/>
            <w:vAlign w:val="center"/>
            <w:hideMark/>
          </w:tcPr>
          <w:p>
            <w:pPr>
              <w:ind w:firstLine="0"/>
              <w:jc w:val="center"/>
            </w:pPr>
            <w:r>
              <w:t>0,765 (W)</w:t>
            </w:r>
          </w:p>
        </w:tc>
        <w:tc>
          <w:tcPr>
            <w:tcW w:w="1178" w:type="dxa"/>
            <w:noWrap/>
            <w:vAlign w:val="center"/>
            <w:hideMark/>
          </w:tcPr>
          <w:p>
            <w:pPr>
              <w:ind w:firstLine="0"/>
              <w:jc w:val="center"/>
              <w:rPr>
                <w:lang w:val="en-US"/>
              </w:rPr>
            </w:pPr>
            <w:r>
              <w:t>1,5</w:t>
            </w:r>
            <w:r>
              <w:rPr>
                <w:szCs w:val="24"/>
                <w:lang w:eastAsia="ru-RU"/>
              </w:rPr>
              <w:t>×10</w:t>
            </w:r>
            <w:r>
              <w:rPr>
                <w:szCs w:val="24"/>
                <w:vertAlign w:val="superscript"/>
                <w:lang w:eastAsia="ru-RU"/>
              </w:rPr>
              <w:t>-1</w:t>
            </w:r>
            <w:r>
              <w:rPr>
                <w:szCs w:val="24"/>
                <w:vertAlign w:val="superscript"/>
                <w:lang w:val="en-US" w:eastAsia="ru-RU"/>
              </w:rPr>
              <w:t>3</w:t>
            </w:r>
          </w:p>
        </w:tc>
        <w:tc>
          <w:tcPr>
            <w:tcW w:w="1124" w:type="dxa"/>
            <w:noWrap/>
            <w:vAlign w:val="center"/>
            <w:hideMark/>
          </w:tcPr>
          <w:p>
            <w:pPr>
              <w:ind w:firstLine="0"/>
              <w:jc w:val="center"/>
            </w:pPr>
            <w:r>
              <w:t>0,37</w:t>
            </w:r>
          </w:p>
        </w:tc>
        <w:tc>
          <w:tcPr>
            <w:tcW w:w="1230" w:type="dxa"/>
            <w:noWrap/>
            <w:vAlign w:val="center"/>
            <w:hideMark/>
          </w:tcPr>
          <w:p>
            <w:pPr>
              <w:ind w:firstLine="0"/>
              <w:jc w:val="center"/>
            </w:pPr>
            <w:r>
              <w:t>917 504</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n03</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Нормальные, неравные (60/60)</w:t>
            </w:r>
          </w:p>
        </w:tc>
        <w:tc>
          <w:tcPr>
            <w:tcW w:w="1557" w:type="dxa"/>
            <w:noWrap/>
            <w:vAlign w:val="center"/>
            <w:hideMark/>
          </w:tcPr>
          <w:p>
            <w:pPr>
              <w:ind w:firstLine="0"/>
              <w:jc w:val="center"/>
            </w:pPr>
            <w:r>
              <w:t>0,014 (W)</w:t>
            </w:r>
          </w:p>
        </w:tc>
        <w:tc>
          <w:tcPr>
            <w:tcW w:w="1178" w:type="dxa"/>
            <w:noWrap/>
            <w:vAlign w:val="center"/>
            <w:hideMark/>
          </w:tcPr>
          <w:p>
            <w:pPr>
              <w:ind w:firstLine="0"/>
              <w:jc w:val="center"/>
            </w:pPr>
            <w:r>
              <w:t>5,3</w:t>
            </w:r>
            <w:r>
              <w:rPr>
                <w:szCs w:val="24"/>
                <w:lang w:eastAsia="ru-RU"/>
              </w:rPr>
              <w:t>×10</w:t>
            </w:r>
            <w:r>
              <w:rPr>
                <w:szCs w:val="24"/>
                <w:vertAlign w:val="superscript"/>
                <w:lang w:eastAsia="ru-RU"/>
              </w:rPr>
              <w:t>-1</w:t>
            </w:r>
            <w:r>
              <w:rPr>
                <w:szCs w:val="24"/>
                <w:vertAlign w:val="superscript"/>
                <w:lang w:val="en-US" w:eastAsia="ru-RU"/>
              </w:rPr>
              <w:t>4</w:t>
            </w:r>
          </w:p>
        </w:tc>
        <w:tc>
          <w:tcPr>
            <w:tcW w:w="1124" w:type="dxa"/>
            <w:noWrap/>
            <w:vAlign w:val="center"/>
            <w:hideMark/>
          </w:tcPr>
          <w:p>
            <w:pPr>
              <w:ind w:firstLine="0"/>
              <w:jc w:val="center"/>
            </w:pPr>
            <w:r>
              <w:t>0,82</w:t>
            </w:r>
          </w:p>
        </w:tc>
        <w:tc>
          <w:tcPr>
            <w:tcW w:w="1230" w:type="dxa"/>
            <w:noWrap/>
            <w:vAlign w:val="center"/>
            <w:hideMark/>
          </w:tcPr>
          <w:p>
            <w:pPr>
              <w:ind w:firstLine="0"/>
              <w:jc w:val="center"/>
            </w:pPr>
            <w:r>
              <w:t>2 490 368</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n04</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Нормальные, (200/30)</w:t>
            </w:r>
          </w:p>
        </w:tc>
        <w:tc>
          <w:tcPr>
            <w:tcW w:w="1557" w:type="dxa"/>
            <w:noWrap/>
            <w:vAlign w:val="center"/>
            <w:hideMark/>
          </w:tcPr>
          <w:p>
            <w:pPr>
              <w:ind w:firstLine="0"/>
              <w:jc w:val="center"/>
            </w:pPr>
            <w:r>
              <w:t>0,300 (W)</w:t>
            </w:r>
          </w:p>
        </w:tc>
        <w:tc>
          <w:tcPr>
            <w:tcW w:w="1178" w:type="dxa"/>
            <w:noWrap/>
            <w:vAlign w:val="center"/>
            <w:hideMark/>
          </w:tcPr>
          <w:p>
            <w:pPr>
              <w:ind w:firstLine="0"/>
              <w:jc w:val="center"/>
            </w:pPr>
            <w:r>
              <w:t>2,6</w:t>
            </w:r>
            <w:r>
              <w:rPr>
                <w:szCs w:val="24"/>
                <w:lang w:eastAsia="ru-RU"/>
              </w:rPr>
              <w:t>×10</w:t>
            </w:r>
            <w:r>
              <w:rPr>
                <w:szCs w:val="24"/>
                <w:vertAlign w:val="superscript"/>
                <w:lang w:eastAsia="ru-RU"/>
              </w:rPr>
              <w:t>-13</w:t>
            </w:r>
          </w:p>
        </w:tc>
        <w:tc>
          <w:tcPr>
            <w:tcW w:w="1124" w:type="dxa"/>
            <w:noWrap/>
            <w:vAlign w:val="center"/>
            <w:hideMark/>
          </w:tcPr>
          <w:p>
            <w:pPr>
              <w:ind w:firstLine="0"/>
              <w:jc w:val="center"/>
            </w:pPr>
            <w:r>
              <w:t>0,97</w:t>
            </w:r>
          </w:p>
        </w:tc>
        <w:tc>
          <w:tcPr>
            <w:tcW w:w="1230" w:type="dxa"/>
            <w:noWrap/>
            <w:vAlign w:val="center"/>
            <w:hideMark/>
          </w:tcPr>
          <w:p>
            <w:pPr>
              <w:ind w:firstLine="0"/>
              <w:jc w:val="center"/>
            </w:pPr>
            <w:r>
              <w:t>3 670 016</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n05</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Нормальные, (3/4)</w:t>
            </w:r>
          </w:p>
        </w:tc>
        <w:tc>
          <w:tcPr>
            <w:tcW w:w="1557" w:type="dxa"/>
            <w:noWrap/>
            <w:vAlign w:val="center"/>
            <w:hideMark/>
          </w:tcPr>
          <w:p>
            <w:pPr>
              <w:ind w:firstLine="0"/>
              <w:jc w:val="center"/>
            </w:pPr>
            <w:r>
              <w:t>0,241 (W)</w:t>
            </w:r>
          </w:p>
        </w:tc>
        <w:tc>
          <w:tcPr>
            <w:tcW w:w="1178" w:type="dxa"/>
            <w:noWrap/>
            <w:vAlign w:val="center"/>
            <w:hideMark/>
          </w:tcPr>
          <w:p>
            <w:pPr>
              <w:ind w:firstLine="0"/>
              <w:jc w:val="center"/>
            </w:pPr>
            <w:r>
              <w:t>1,2</w:t>
            </w:r>
            <w:r>
              <w:rPr>
                <w:szCs w:val="24"/>
                <w:lang w:eastAsia="ru-RU"/>
              </w:rPr>
              <w:t>×10</w:t>
            </w:r>
            <w:r>
              <w:rPr>
                <w:szCs w:val="24"/>
                <w:vertAlign w:val="superscript"/>
                <w:lang w:eastAsia="ru-RU"/>
              </w:rPr>
              <w:t>-1</w:t>
            </w:r>
            <w:r>
              <w:rPr>
                <w:szCs w:val="24"/>
                <w:vertAlign w:val="superscript"/>
                <w:lang w:val="en-US" w:eastAsia="ru-RU"/>
              </w:rPr>
              <w:t>4</w:t>
            </w:r>
          </w:p>
        </w:tc>
        <w:tc>
          <w:tcPr>
            <w:tcW w:w="1124" w:type="dxa"/>
            <w:noWrap/>
            <w:vAlign w:val="center"/>
            <w:hideMark/>
          </w:tcPr>
          <w:p>
            <w:pPr>
              <w:ind w:firstLine="0"/>
              <w:jc w:val="center"/>
            </w:pPr>
            <w:r>
              <w:t>0,76</w:t>
            </w:r>
          </w:p>
        </w:tc>
        <w:tc>
          <w:tcPr>
            <w:tcW w:w="1230" w:type="dxa"/>
            <w:noWrap/>
            <w:vAlign w:val="center"/>
            <w:hideMark/>
          </w:tcPr>
          <w:p>
            <w:pPr>
              <w:ind w:firstLine="0"/>
              <w:jc w:val="center"/>
            </w:pPr>
            <w:r>
              <w:t>786 432</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n06</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Логнормальные (40/40)</w:t>
            </w:r>
          </w:p>
        </w:tc>
        <w:tc>
          <w:tcPr>
            <w:tcW w:w="1557" w:type="dxa"/>
            <w:noWrap/>
            <w:vAlign w:val="center"/>
            <w:hideMark/>
          </w:tcPr>
          <w:p>
            <w:pPr>
              <w:ind w:firstLine="0"/>
              <w:jc w:val="center"/>
            </w:pPr>
            <w:r>
              <w:t>3,9</w:t>
            </w:r>
            <w:r>
              <w:rPr>
                <w:szCs w:val="24"/>
                <w:lang w:eastAsia="ru-RU"/>
              </w:rPr>
              <w:t>×10</w:t>
            </w:r>
            <w:r>
              <w:rPr>
                <w:szCs w:val="24"/>
                <w:vertAlign w:val="superscript"/>
                <w:lang w:eastAsia="ru-RU"/>
              </w:rPr>
              <w:t>-6</w:t>
            </w:r>
            <w:r>
              <w:t xml:space="preserve"> (M)</w:t>
            </w:r>
          </w:p>
        </w:tc>
        <w:tc>
          <w:tcPr>
            <w:tcW w:w="1178" w:type="dxa"/>
            <w:noWrap/>
            <w:vAlign w:val="center"/>
            <w:hideMark/>
          </w:tcPr>
          <w:p>
            <w:pPr>
              <w:ind w:firstLine="0"/>
              <w:jc w:val="center"/>
            </w:pPr>
            <w:r>
              <w:t>8,3</w:t>
            </w:r>
            <w:r>
              <w:rPr>
                <w:szCs w:val="24"/>
                <w:lang w:eastAsia="ru-RU"/>
              </w:rPr>
              <w:t>×10</w:t>
            </w:r>
            <w:r>
              <w:rPr>
                <w:szCs w:val="24"/>
                <w:vertAlign w:val="superscript"/>
                <w:lang w:eastAsia="ru-RU"/>
              </w:rPr>
              <w:t>-1</w:t>
            </w:r>
            <w:r>
              <w:rPr>
                <w:szCs w:val="24"/>
                <w:vertAlign w:val="superscript"/>
                <w:lang w:val="en-US" w:eastAsia="ru-RU"/>
              </w:rPr>
              <w:t>4</w:t>
            </w:r>
          </w:p>
        </w:tc>
        <w:tc>
          <w:tcPr>
            <w:tcW w:w="1124" w:type="dxa"/>
            <w:noWrap/>
            <w:vAlign w:val="center"/>
            <w:hideMark/>
          </w:tcPr>
          <w:p>
            <w:pPr>
              <w:ind w:firstLine="0"/>
              <w:jc w:val="center"/>
            </w:pPr>
            <w:r>
              <w:t>1,07</w:t>
            </w:r>
          </w:p>
        </w:tc>
        <w:tc>
          <w:tcPr>
            <w:tcW w:w="1230" w:type="dxa"/>
            <w:noWrap/>
            <w:vAlign w:val="center"/>
            <w:hideMark/>
          </w:tcPr>
          <w:p>
            <w:pPr>
              <w:ind w:firstLine="0"/>
              <w:jc w:val="center"/>
            </w:pPr>
            <w:r>
              <w:t>5 373 952</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n07</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 xml:space="preserve">Гамма, </w:t>
            </w:r>
            <m:oMath>
              <m:r>
                <w:rPr>
                  <w:rFonts w:ascii="Cambria Math" w:eastAsia="Times New Roman" w:hAnsi="Cambria Math"/>
                  <w:color w:val="000000"/>
                  <w:szCs w:val="24"/>
                  <w:lang w:val="en-US" w:eastAsia="ru-RU"/>
                </w:rPr>
                <m:t>k</m:t>
              </m:r>
            </m:oMath>
            <w:r>
              <w:rPr>
                <w:rFonts w:eastAsia="Times New Roman"/>
                <w:color w:val="000000"/>
                <w:szCs w:val="24"/>
                <w:lang w:eastAsia="ru-RU"/>
              </w:rPr>
              <w:t xml:space="preserve"> = 2 (40/40)</w:t>
            </w:r>
          </w:p>
        </w:tc>
        <w:tc>
          <w:tcPr>
            <w:tcW w:w="1557" w:type="dxa"/>
            <w:noWrap/>
            <w:vAlign w:val="center"/>
            <w:hideMark/>
          </w:tcPr>
          <w:p>
            <w:pPr>
              <w:ind w:firstLine="0"/>
              <w:jc w:val="center"/>
            </w:pPr>
            <w:r>
              <w:t>0,261 (M)</w:t>
            </w:r>
          </w:p>
        </w:tc>
        <w:tc>
          <w:tcPr>
            <w:tcW w:w="1178" w:type="dxa"/>
            <w:noWrap/>
            <w:vAlign w:val="center"/>
            <w:hideMark/>
          </w:tcPr>
          <w:p>
            <w:pPr>
              <w:ind w:firstLine="0"/>
              <w:jc w:val="center"/>
            </w:pPr>
            <w:r>
              <w:t>6,9</w:t>
            </w:r>
            <w:r>
              <w:rPr>
                <w:szCs w:val="24"/>
                <w:lang w:eastAsia="ru-RU"/>
              </w:rPr>
              <w:t>×10</w:t>
            </w:r>
            <w:r>
              <w:rPr>
                <w:szCs w:val="24"/>
                <w:vertAlign w:val="superscript"/>
                <w:lang w:eastAsia="ru-RU"/>
              </w:rPr>
              <w:t>-1</w:t>
            </w:r>
            <w:r>
              <w:rPr>
                <w:szCs w:val="24"/>
                <w:vertAlign w:val="superscript"/>
                <w:lang w:val="en-US" w:eastAsia="ru-RU"/>
              </w:rPr>
              <w:t>4</w:t>
            </w:r>
          </w:p>
        </w:tc>
        <w:tc>
          <w:tcPr>
            <w:tcW w:w="1124" w:type="dxa"/>
            <w:noWrap/>
            <w:vAlign w:val="center"/>
            <w:hideMark/>
          </w:tcPr>
          <w:p>
            <w:pPr>
              <w:ind w:firstLine="0"/>
              <w:jc w:val="center"/>
            </w:pPr>
            <w:r>
              <w:t>0,78</w:t>
            </w:r>
          </w:p>
        </w:tc>
        <w:tc>
          <w:tcPr>
            <w:tcW w:w="1230" w:type="dxa"/>
            <w:noWrap/>
            <w:vAlign w:val="center"/>
            <w:hideMark/>
          </w:tcPr>
          <w:p>
            <w:pPr>
              <w:ind w:firstLine="0"/>
              <w:jc w:val="center"/>
            </w:pPr>
            <w:r>
              <w:t>5 373 952</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n08</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Экспоненциальные (50/50)</w:t>
            </w:r>
          </w:p>
        </w:tc>
        <w:tc>
          <w:tcPr>
            <w:tcW w:w="1557" w:type="dxa"/>
            <w:noWrap/>
            <w:vAlign w:val="center"/>
            <w:hideMark/>
          </w:tcPr>
          <w:p>
            <w:pPr>
              <w:ind w:firstLine="0"/>
              <w:jc w:val="center"/>
            </w:pPr>
            <w:r>
              <w:t>0,317 (M)</w:t>
            </w:r>
          </w:p>
        </w:tc>
        <w:tc>
          <w:tcPr>
            <w:tcW w:w="1178" w:type="dxa"/>
            <w:noWrap/>
            <w:vAlign w:val="center"/>
            <w:hideMark/>
          </w:tcPr>
          <w:p>
            <w:pPr>
              <w:ind w:firstLine="0"/>
              <w:jc w:val="center"/>
            </w:pPr>
            <w:r>
              <w:t>4,8</w:t>
            </w:r>
            <w:r>
              <w:rPr>
                <w:szCs w:val="24"/>
                <w:lang w:eastAsia="ru-RU"/>
              </w:rPr>
              <w:t>×10</w:t>
            </w:r>
            <w:r>
              <w:rPr>
                <w:szCs w:val="24"/>
                <w:vertAlign w:val="superscript"/>
                <w:lang w:eastAsia="ru-RU"/>
              </w:rPr>
              <w:t>-1</w:t>
            </w:r>
            <w:r>
              <w:rPr>
                <w:szCs w:val="24"/>
                <w:vertAlign w:val="superscript"/>
                <w:lang w:val="en-US" w:eastAsia="ru-RU"/>
              </w:rPr>
              <w:t>4</w:t>
            </w:r>
          </w:p>
        </w:tc>
        <w:tc>
          <w:tcPr>
            <w:tcW w:w="1124" w:type="dxa"/>
            <w:noWrap/>
            <w:vAlign w:val="center"/>
            <w:hideMark/>
          </w:tcPr>
          <w:p>
            <w:pPr>
              <w:ind w:firstLine="0"/>
              <w:jc w:val="center"/>
            </w:pPr>
            <w:r>
              <w:t>0,83</w:t>
            </w:r>
          </w:p>
        </w:tc>
        <w:tc>
          <w:tcPr>
            <w:tcW w:w="1230" w:type="dxa"/>
            <w:noWrap/>
            <w:vAlign w:val="center"/>
            <w:hideMark/>
          </w:tcPr>
          <w:p>
            <w:pPr>
              <w:ind w:firstLine="0"/>
              <w:jc w:val="center"/>
            </w:pPr>
            <w:r>
              <w:t>6 422 528</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n09</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Равномерные (35/35)</w:t>
            </w:r>
          </w:p>
        </w:tc>
        <w:tc>
          <w:tcPr>
            <w:tcW w:w="1557" w:type="dxa"/>
            <w:noWrap/>
            <w:vAlign w:val="center"/>
            <w:hideMark/>
          </w:tcPr>
          <w:p>
            <w:pPr>
              <w:ind w:firstLine="0"/>
              <w:jc w:val="center"/>
            </w:pPr>
            <w:r>
              <w:t>0,030 (M)</w:t>
            </w:r>
          </w:p>
        </w:tc>
        <w:tc>
          <w:tcPr>
            <w:tcW w:w="1178" w:type="dxa"/>
            <w:noWrap/>
            <w:vAlign w:val="center"/>
            <w:hideMark/>
          </w:tcPr>
          <w:p>
            <w:pPr>
              <w:ind w:firstLine="0"/>
              <w:jc w:val="center"/>
            </w:pPr>
            <w:r>
              <w:t>8,0</w:t>
            </w:r>
            <w:r>
              <w:rPr>
                <w:szCs w:val="24"/>
                <w:lang w:eastAsia="ru-RU"/>
              </w:rPr>
              <w:t>×10</w:t>
            </w:r>
            <w:r>
              <w:rPr>
                <w:szCs w:val="24"/>
                <w:vertAlign w:val="superscript"/>
                <w:lang w:eastAsia="ru-RU"/>
              </w:rPr>
              <w:t>-1</w:t>
            </w:r>
            <w:r>
              <w:rPr>
                <w:szCs w:val="24"/>
                <w:vertAlign w:val="superscript"/>
                <w:lang w:val="en-US" w:eastAsia="ru-RU"/>
              </w:rPr>
              <w:t>4</w:t>
            </w:r>
          </w:p>
        </w:tc>
        <w:tc>
          <w:tcPr>
            <w:tcW w:w="1124" w:type="dxa"/>
            <w:noWrap/>
            <w:vAlign w:val="center"/>
            <w:hideMark/>
          </w:tcPr>
          <w:p>
            <w:pPr>
              <w:ind w:firstLine="0"/>
              <w:jc w:val="center"/>
            </w:pPr>
            <w:r>
              <w:t>0,70</w:t>
            </w:r>
          </w:p>
        </w:tc>
        <w:tc>
          <w:tcPr>
            <w:tcW w:w="1230" w:type="dxa"/>
            <w:noWrap/>
            <w:vAlign w:val="center"/>
            <w:hideMark/>
          </w:tcPr>
          <w:p>
            <w:pPr>
              <w:ind w:firstLine="0"/>
              <w:jc w:val="center"/>
            </w:pPr>
            <w:r>
              <w:t>4 849 664</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n10</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t</w:t>
            </w:r>
            <w:r>
              <w:rPr>
                <w:rFonts w:eastAsia="Times New Roman"/>
                <w:color w:val="000000"/>
                <w:szCs w:val="24"/>
                <w:vertAlign w:val="subscript"/>
                <w:lang w:val="en-US" w:eastAsia="ru-RU"/>
              </w:rPr>
              <w:t>3</w:t>
            </w:r>
            <w:r>
              <w:rPr>
                <w:rFonts w:eastAsia="Times New Roman"/>
                <w:color w:val="000000"/>
                <w:szCs w:val="24"/>
                <w:lang w:eastAsia="ru-RU"/>
              </w:rPr>
              <w:t>, тяжёлый хвост (45/45)</w:t>
            </w:r>
          </w:p>
        </w:tc>
        <w:tc>
          <w:tcPr>
            <w:tcW w:w="1557" w:type="dxa"/>
            <w:noWrap/>
            <w:vAlign w:val="center"/>
            <w:hideMark/>
          </w:tcPr>
          <w:p>
            <w:pPr>
              <w:ind w:firstLine="0"/>
              <w:jc w:val="center"/>
            </w:pPr>
            <w:r>
              <w:t>0,006 (M)</w:t>
            </w:r>
          </w:p>
        </w:tc>
        <w:tc>
          <w:tcPr>
            <w:tcW w:w="1178" w:type="dxa"/>
            <w:noWrap/>
            <w:vAlign w:val="center"/>
            <w:hideMark/>
          </w:tcPr>
          <w:p>
            <w:pPr>
              <w:ind w:firstLine="0"/>
              <w:jc w:val="center"/>
            </w:pPr>
            <w:r>
              <w:t>8,1</w:t>
            </w:r>
            <w:r>
              <w:rPr>
                <w:szCs w:val="24"/>
                <w:lang w:eastAsia="ru-RU"/>
              </w:rPr>
              <w:t>×10</w:t>
            </w:r>
            <w:r>
              <w:rPr>
                <w:szCs w:val="24"/>
                <w:vertAlign w:val="superscript"/>
                <w:lang w:eastAsia="ru-RU"/>
              </w:rPr>
              <w:t>-1</w:t>
            </w:r>
            <w:r>
              <w:rPr>
                <w:szCs w:val="24"/>
                <w:vertAlign w:val="superscript"/>
                <w:lang w:val="en-US" w:eastAsia="ru-RU"/>
              </w:rPr>
              <w:t>4</w:t>
            </w:r>
          </w:p>
        </w:tc>
        <w:tc>
          <w:tcPr>
            <w:tcW w:w="1124" w:type="dxa"/>
            <w:noWrap/>
            <w:vAlign w:val="center"/>
            <w:hideMark/>
          </w:tcPr>
          <w:p>
            <w:pPr>
              <w:ind w:firstLine="0"/>
              <w:jc w:val="center"/>
            </w:pPr>
            <w:r>
              <w:t>0,53</w:t>
            </w:r>
          </w:p>
        </w:tc>
        <w:tc>
          <w:tcPr>
            <w:tcW w:w="1230" w:type="dxa"/>
            <w:noWrap/>
            <w:vAlign w:val="center"/>
            <w:hideMark/>
          </w:tcPr>
          <w:p>
            <w:pPr>
              <w:ind w:firstLine="0"/>
              <w:jc w:val="center"/>
            </w:pPr>
            <w:r>
              <w:t>5 373 952</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n11</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Бимодальные (40/40)</w:t>
            </w:r>
          </w:p>
        </w:tc>
        <w:tc>
          <w:tcPr>
            <w:tcW w:w="1557" w:type="dxa"/>
            <w:noWrap/>
            <w:vAlign w:val="center"/>
            <w:hideMark/>
          </w:tcPr>
          <w:p>
            <w:pPr>
              <w:ind w:firstLine="0"/>
              <w:jc w:val="center"/>
            </w:pPr>
            <w:r>
              <w:t>1,000 (M)</w:t>
            </w:r>
          </w:p>
        </w:tc>
        <w:tc>
          <w:tcPr>
            <w:tcW w:w="1178" w:type="dxa"/>
            <w:noWrap/>
            <w:vAlign w:val="center"/>
            <w:hideMark/>
          </w:tcPr>
          <w:p>
            <w:pPr>
              <w:ind w:firstLine="0"/>
              <w:jc w:val="center"/>
            </w:pPr>
            <w:r>
              <w:t>5,1</w:t>
            </w:r>
            <w:r>
              <w:rPr>
                <w:szCs w:val="24"/>
                <w:lang w:eastAsia="ru-RU"/>
              </w:rPr>
              <w:t>×10</w:t>
            </w:r>
            <w:r>
              <w:rPr>
                <w:szCs w:val="24"/>
                <w:vertAlign w:val="superscript"/>
                <w:lang w:eastAsia="ru-RU"/>
              </w:rPr>
              <w:t>-1</w:t>
            </w:r>
            <w:r>
              <w:rPr>
                <w:szCs w:val="24"/>
                <w:vertAlign w:val="superscript"/>
                <w:lang w:val="en-US" w:eastAsia="ru-RU"/>
              </w:rPr>
              <w:t>4</w:t>
            </w:r>
          </w:p>
        </w:tc>
        <w:tc>
          <w:tcPr>
            <w:tcW w:w="1124" w:type="dxa"/>
            <w:noWrap/>
            <w:vAlign w:val="center"/>
            <w:hideMark/>
          </w:tcPr>
          <w:p>
            <w:pPr>
              <w:ind w:firstLine="0"/>
              <w:jc w:val="center"/>
            </w:pPr>
            <w:r>
              <w:t>0,52</w:t>
            </w:r>
          </w:p>
        </w:tc>
        <w:tc>
          <w:tcPr>
            <w:tcW w:w="1230" w:type="dxa"/>
            <w:noWrap/>
            <w:vAlign w:val="center"/>
            <w:hideMark/>
          </w:tcPr>
          <w:p>
            <w:pPr>
              <w:ind w:firstLine="0"/>
              <w:jc w:val="center"/>
            </w:pPr>
            <w:r>
              <w:t>5 373 952</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n12</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Дискретные 1:5 (50/50)</w:t>
            </w:r>
          </w:p>
        </w:tc>
        <w:tc>
          <w:tcPr>
            <w:tcW w:w="1557" w:type="dxa"/>
            <w:noWrap/>
            <w:vAlign w:val="center"/>
            <w:hideMark/>
          </w:tcPr>
          <w:p>
            <w:pPr>
              <w:ind w:firstLine="0"/>
              <w:jc w:val="center"/>
            </w:pPr>
            <w:r>
              <w:t>0,838 (M)</w:t>
            </w:r>
          </w:p>
        </w:tc>
        <w:tc>
          <w:tcPr>
            <w:tcW w:w="1178" w:type="dxa"/>
            <w:noWrap/>
            <w:vAlign w:val="center"/>
            <w:hideMark/>
          </w:tcPr>
          <w:p>
            <w:pPr>
              <w:ind w:firstLine="0"/>
              <w:jc w:val="center"/>
            </w:pPr>
            <w:r>
              <w:t>8,3</w:t>
            </w:r>
            <w:r>
              <w:rPr>
                <w:szCs w:val="24"/>
                <w:lang w:eastAsia="ru-RU"/>
              </w:rPr>
              <w:t>×10</w:t>
            </w:r>
            <w:r>
              <w:rPr>
                <w:szCs w:val="24"/>
                <w:vertAlign w:val="superscript"/>
                <w:lang w:eastAsia="ru-RU"/>
              </w:rPr>
              <w:t>-15</w:t>
            </w:r>
          </w:p>
        </w:tc>
        <w:tc>
          <w:tcPr>
            <w:tcW w:w="1124" w:type="dxa"/>
            <w:noWrap/>
            <w:vAlign w:val="center"/>
            <w:hideMark/>
          </w:tcPr>
          <w:p>
            <w:pPr>
              <w:ind w:firstLine="0"/>
              <w:jc w:val="center"/>
            </w:pPr>
            <w:r>
              <w:t>0,54</w:t>
            </w:r>
          </w:p>
        </w:tc>
        <w:tc>
          <w:tcPr>
            <w:tcW w:w="1230" w:type="dxa"/>
            <w:noWrap/>
            <w:vAlign w:val="center"/>
            <w:hideMark/>
          </w:tcPr>
          <w:p>
            <w:pPr>
              <w:ind w:firstLine="0"/>
              <w:jc w:val="center"/>
            </w:pPr>
            <w:r>
              <w:t>5 373 952</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n13</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Нормальные (1000/1000)</w:t>
            </w:r>
          </w:p>
        </w:tc>
        <w:tc>
          <w:tcPr>
            <w:tcW w:w="1557" w:type="dxa"/>
            <w:noWrap/>
            <w:vAlign w:val="center"/>
            <w:hideMark/>
          </w:tcPr>
          <w:p>
            <w:pPr>
              <w:ind w:firstLine="0"/>
              <w:jc w:val="center"/>
            </w:pPr>
            <w:r>
              <w:t>4,0</w:t>
            </w:r>
            <w:r>
              <w:rPr>
                <w:szCs w:val="24"/>
                <w:lang w:eastAsia="ru-RU"/>
              </w:rPr>
              <w:t>×10</w:t>
            </w:r>
            <w:r>
              <w:rPr>
                <w:szCs w:val="24"/>
                <w:vertAlign w:val="superscript"/>
                <w:lang w:eastAsia="ru-RU"/>
              </w:rPr>
              <w:t>-13</w:t>
            </w:r>
            <w:r>
              <w:t xml:space="preserve"> (W)</w:t>
            </w:r>
          </w:p>
        </w:tc>
        <w:tc>
          <w:tcPr>
            <w:tcW w:w="1178" w:type="dxa"/>
            <w:noWrap/>
            <w:vAlign w:val="center"/>
            <w:hideMark/>
          </w:tcPr>
          <w:p>
            <w:pPr>
              <w:ind w:firstLine="0"/>
              <w:jc w:val="center"/>
            </w:pPr>
            <w:r>
              <w:t>1,8</w:t>
            </w:r>
            <w:r>
              <w:rPr>
                <w:szCs w:val="24"/>
                <w:lang w:eastAsia="ru-RU"/>
              </w:rPr>
              <w:t>×10</w:t>
            </w:r>
            <w:r>
              <w:rPr>
                <w:szCs w:val="24"/>
                <w:vertAlign w:val="superscript"/>
                <w:lang w:eastAsia="ru-RU"/>
              </w:rPr>
              <w:t>-12</w:t>
            </w:r>
          </w:p>
        </w:tc>
        <w:tc>
          <w:tcPr>
            <w:tcW w:w="1124" w:type="dxa"/>
            <w:noWrap/>
            <w:vAlign w:val="center"/>
            <w:hideMark/>
          </w:tcPr>
          <w:p>
            <w:pPr>
              <w:ind w:firstLine="0"/>
              <w:jc w:val="center"/>
            </w:pPr>
            <w:r>
              <w:t>2,06</w:t>
            </w:r>
          </w:p>
        </w:tc>
        <w:tc>
          <w:tcPr>
            <w:tcW w:w="1230" w:type="dxa"/>
            <w:noWrap/>
            <w:vAlign w:val="center"/>
            <w:hideMark/>
          </w:tcPr>
          <w:p>
            <w:pPr>
              <w:ind w:firstLine="0"/>
              <w:jc w:val="center"/>
              <w:rPr>
                <w:spacing w:val="-8"/>
              </w:rPr>
            </w:pPr>
            <w:r>
              <w:rPr>
                <w:spacing w:val="-8"/>
              </w:rPr>
              <w:t>26 607 616</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n14</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Граничный случай (11/12)</w:t>
            </w:r>
          </w:p>
        </w:tc>
        <w:tc>
          <w:tcPr>
            <w:tcW w:w="1557" w:type="dxa"/>
            <w:noWrap/>
            <w:vAlign w:val="center"/>
            <w:hideMark/>
          </w:tcPr>
          <w:p>
            <w:pPr>
              <w:ind w:firstLine="0"/>
              <w:jc w:val="center"/>
            </w:pPr>
            <w:r>
              <w:t>0,100 (W)</w:t>
            </w:r>
          </w:p>
        </w:tc>
        <w:tc>
          <w:tcPr>
            <w:tcW w:w="1178" w:type="dxa"/>
            <w:noWrap/>
            <w:vAlign w:val="center"/>
            <w:hideMark/>
          </w:tcPr>
          <w:p>
            <w:pPr>
              <w:ind w:firstLine="0"/>
              <w:jc w:val="center"/>
            </w:pPr>
            <w:r>
              <w:t>1,2</w:t>
            </w:r>
            <w:r>
              <w:rPr>
                <w:szCs w:val="24"/>
                <w:lang w:eastAsia="ru-RU"/>
              </w:rPr>
              <w:t>×10</w:t>
            </w:r>
            <w:r>
              <w:rPr>
                <w:szCs w:val="24"/>
                <w:vertAlign w:val="superscript"/>
                <w:lang w:eastAsia="ru-RU"/>
              </w:rPr>
              <w:t>-1</w:t>
            </w:r>
            <w:r>
              <w:rPr>
                <w:szCs w:val="24"/>
                <w:vertAlign w:val="superscript"/>
                <w:lang w:val="en-US" w:eastAsia="ru-RU"/>
              </w:rPr>
              <w:t>4</w:t>
            </w:r>
          </w:p>
        </w:tc>
        <w:tc>
          <w:tcPr>
            <w:tcW w:w="1124" w:type="dxa"/>
            <w:noWrap/>
            <w:vAlign w:val="center"/>
            <w:hideMark/>
          </w:tcPr>
          <w:p>
            <w:pPr>
              <w:ind w:firstLine="0"/>
              <w:jc w:val="center"/>
            </w:pPr>
            <w:r>
              <w:t>0,54</w:t>
            </w:r>
          </w:p>
        </w:tc>
        <w:tc>
          <w:tcPr>
            <w:tcW w:w="1230" w:type="dxa"/>
            <w:noWrap/>
            <w:vAlign w:val="center"/>
            <w:hideMark/>
          </w:tcPr>
          <w:p>
            <w:pPr>
              <w:ind w:firstLine="0"/>
              <w:jc w:val="center"/>
            </w:pPr>
            <w:r>
              <w:t>917 504</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n15</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Константная группа (20/20)</w:t>
            </w:r>
          </w:p>
        </w:tc>
        <w:tc>
          <w:tcPr>
            <w:tcW w:w="1557" w:type="dxa"/>
            <w:noWrap/>
            <w:vAlign w:val="center"/>
            <w:hideMark/>
          </w:tcPr>
          <w:p>
            <w:pPr>
              <w:ind w:firstLine="0"/>
              <w:jc w:val="center"/>
              <w:rPr>
                <w:lang w:val="en-US"/>
              </w:rPr>
            </w:pPr>
            <w:r>
              <w:rPr>
                <w:lang w:val="en-US"/>
              </w:rPr>
              <w:t>–</w:t>
            </w:r>
          </w:p>
        </w:tc>
        <w:tc>
          <w:tcPr>
            <w:tcW w:w="1178" w:type="dxa"/>
            <w:noWrap/>
            <w:vAlign w:val="center"/>
            <w:hideMark/>
          </w:tcPr>
          <w:p>
            <w:pPr>
              <w:ind w:firstLine="0"/>
              <w:jc w:val="center"/>
            </w:pPr>
            <w:r>
              <w:t>0</w:t>
            </w:r>
          </w:p>
        </w:tc>
        <w:tc>
          <w:tcPr>
            <w:tcW w:w="1124" w:type="dxa"/>
            <w:noWrap/>
            <w:vAlign w:val="center"/>
            <w:hideMark/>
          </w:tcPr>
          <w:p>
            <w:pPr>
              <w:ind w:firstLine="0"/>
              <w:jc w:val="center"/>
            </w:pPr>
            <w:r>
              <w:t>0,00</w:t>
            </w:r>
          </w:p>
        </w:tc>
        <w:tc>
          <w:tcPr>
            <w:tcW w:w="1230" w:type="dxa"/>
            <w:noWrap/>
            <w:vAlign w:val="center"/>
            <w:hideMark/>
          </w:tcPr>
          <w:p>
            <w:pPr>
              <w:ind w:firstLine="0"/>
              <w:jc w:val="center"/>
            </w:pPr>
            <w:r>
              <w:t>0</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n16</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t</w:t>
            </w:r>
            <w:r>
              <w:rPr>
                <w:rFonts w:eastAsia="Times New Roman"/>
                <w:color w:val="000000"/>
                <w:szCs w:val="24"/>
                <w:vertAlign w:val="subscript"/>
                <w:lang w:val="en-US" w:eastAsia="ru-RU"/>
              </w:rPr>
              <w:t>2</w:t>
            </w:r>
            <w:r>
              <w:rPr>
                <w:rFonts w:eastAsia="Times New Roman"/>
                <w:color w:val="000000"/>
                <w:szCs w:val="24"/>
                <w:lang w:eastAsia="ru-RU"/>
              </w:rPr>
              <w:t>, n = 3/3</w:t>
            </w:r>
          </w:p>
        </w:tc>
        <w:tc>
          <w:tcPr>
            <w:tcW w:w="1557" w:type="dxa"/>
            <w:noWrap/>
            <w:vAlign w:val="center"/>
            <w:hideMark/>
          </w:tcPr>
          <w:p>
            <w:pPr>
              <w:ind w:firstLine="0"/>
              <w:jc w:val="center"/>
            </w:pPr>
            <w:r>
              <w:t>0,345 (W)</w:t>
            </w:r>
          </w:p>
        </w:tc>
        <w:tc>
          <w:tcPr>
            <w:tcW w:w="1178" w:type="dxa"/>
            <w:noWrap/>
            <w:vAlign w:val="center"/>
            <w:hideMark/>
          </w:tcPr>
          <w:p>
            <w:pPr>
              <w:ind w:firstLine="0"/>
              <w:jc w:val="center"/>
            </w:pPr>
            <w:r>
              <w:t>5,6</w:t>
            </w:r>
            <w:r>
              <w:rPr>
                <w:szCs w:val="24"/>
                <w:lang w:eastAsia="ru-RU"/>
              </w:rPr>
              <w:t>×10</w:t>
            </w:r>
            <w:r>
              <w:rPr>
                <w:szCs w:val="24"/>
                <w:vertAlign w:val="superscript"/>
                <w:lang w:eastAsia="ru-RU"/>
              </w:rPr>
              <w:t>-15</w:t>
            </w:r>
          </w:p>
        </w:tc>
        <w:tc>
          <w:tcPr>
            <w:tcW w:w="1124" w:type="dxa"/>
            <w:noWrap/>
            <w:vAlign w:val="center"/>
            <w:hideMark/>
          </w:tcPr>
          <w:p>
            <w:pPr>
              <w:ind w:firstLine="0"/>
              <w:jc w:val="center"/>
            </w:pPr>
            <w:r>
              <w:t>0,56</w:t>
            </w:r>
          </w:p>
        </w:tc>
        <w:tc>
          <w:tcPr>
            <w:tcW w:w="1230" w:type="dxa"/>
            <w:noWrap/>
            <w:vAlign w:val="center"/>
            <w:hideMark/>
          </w:tcPr>
          <w:p>
            <w:pPr>
              <w:ind w:firstLine="0"/>
              <w:jc w:val="center"/>
            </w:pPr>
            <w:r>
              <w:t>655 360</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n17</w:t>
            </w:r>
          </w:p>
        </w:tc>
        <w:tc>
          <w:tcPr>
            <w:tcW w:w="3680" w:type="dxa"/>
            <w:noWrap/>
            <w:vAlign w:val="center"/>
            <w:hideMark/>
          </w:tcPr>
          <w:p>
            <w:pPr>
              <w:ind w:firstLine="0"/>
              <w:jc w:val="center"/>
              <w:rPr>
                <w:rFonts w:eastAsia="Times New Roman"/>
                <w:color w:val="000000"/>
                <w:szCs w:val="24"/>
                <w:lang w:eastAsia="ru-RU"/>
              </w:rPr>
            </w:pPr>
            <w:proofErr w:type="spellStart"/>
            <w:r>
              <w:rPr>
                <w:rFonts w:eastAsia="Times New Roman"/>
                <w:color w:val="000000"/>
                <w:szCs w:val="24"/>
                <w:lang w:eastAsia="ru-RU"/>
              </w:rPr>
              <w:t>Полунормальные</w:t>
            </w:r>
            <w:proofErr w:type="spellEnd"/>
            <w:r>
              <w:rPr>
                <w:rFonts w:eastAsia="Times New Roman"/>
                <w:color w:val="000000"/>
                <w:szCs w:val="24"/>
                <w:lang w:eastAsia="ru-RU"/>
              </w:rPr>
              <w:t xml:space="preserve"> (38/38)</w:t>
            </w:r>
          </w:p>
        </w:tc>
        <w:tc>
          <w:tcPr>
            <w:tcW w:w="1557" w:type="dxa"/>
            <w:noWrap/>
            <w:vAlign w:val="center"/>
            <w:hideMark/>
          </w:tcPr>
          <w:p>
            <w:pPr>
              <w:ind w:firstLine="0"/>
              <w:jc w:val="center"/>
            </w:pPr>
            <w:r>
              <w:t>0,647 (M)</w:t>
            </w:r>
          </w:p>
        </w:tc>
        <w:tc>
          <w:tcPr>
            <w:tcW w:w="1178" w:type="dxa"/>
            <w:noWrap/>
            <w:vAlign w:val="center"/>
            <w:hideMark/>
          </w:tcPr>
          <w:p>
            <w:pPr>
              <w:ind w:firstLine="0"/>
              <w:jc w:val="center"/>
            </w:pPr>
            <w:r>
              <w:t>8,7</w:t>
            </w:r>
            <w:r>
              <w:rPr>
                <w:szCs w:val="24"/>
                <w:lang w:eastAsia="ru-RU"/>
              </w:rPr>
              <w:t>×10</w:t>
            </w:r>
            <w:r>
              <w:rPr>
                <w:szCs w:val="24"/>
                <w:vertAlign w:val="superscript"/>
                <w:lang w:eastAsia="ru-RU"/>
              </w:rPr>
              <w:t>-1</w:t>
            </w:r>
            <w:r>
              <w:rPr>
                <w:szCs w:val="24"/>
                <w:vertAlign w:val="superscript"/>
                <w:lang w:val="en-US" w:eastAsia="ru-RU"/>
              </w:rPr>
              <w:t>4</w:t>
            </w:r>
          </w:p>
        </w:tc>
        <w:tc>
          <w:tcPr>
            <w:tcW w:w="1124" w:type="dxa"/>
            <w:noWrap/>
            <w:vAlign w:val="center"/>
            <w:hideMark/>
          </w:tcPr>
          <w:p>
            <w:pPr>
              <w:ind w:firstLine="0"/>
              <w:jc w:val="center"/>
            </w:pPr>
            <w:r>
              <w:t>0,90</w:t>
            </w:r>
          </w:p>
        </w:tc>
        <w:tc>
          <w:tcPr>
            <w:tcW w:w="1230" w:type="dxa"/>
            <w:noWrap/>
            <w:vAlign w:val="center"/>
            <w:hideMark/>
          </w:tcPr>
          <w:p>
            <w:pPr>
              <w:ind w:firstLine="0"/>
              <w:jc w:val="center"/>
            </w:pPr>
            <w:r>
              <w:t>5 373 952</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n18</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Пуассона (60/60)</w:t>
            </w:r>
          </w:p>
        </w:tc>
        <w:tc>
          <w:tcPr>
            <w:tcW w:w="1557" w:type="dxa"/>
            <w:noWrap/>
            <w:vAlign w:val="center"/>
            <w:hideMark/>
          </w:tcPr>
          <w:p>
            <w:pPr>
              <w:ind w:firstLine="0"/>
              <w:jc w:val="center"/>
            </w:pPr>
            <w:r>
              <w:t>1,9</w:t>
            </w:r>
            <w:r>
              <w:rPr>
                <w:szCs w:val="24"/>
                <w:lang w:eastAsia="ru-RU"/>
              </w:rPr>
              <w:t>×10</w:t>
            </w:r>
            <w:r>
              <w:rPr>
                <w:szCs w:val="24"/>
                <w:vertAlign w:val="superscript"/>
                <w:lang w:eastAsia="ru-RU"/>
              </w:rPr>
              <w:t>-</w:t>
            </w:r>
            <w:r>
              <w:rPr>
                <w:szCs w:val="24"/>
                <w:vertAlign w:val="superscript"/>
                <w:lang w:val="en-US" w:eastAsia="ru-RU"/>
              </w:rPr>
              <w:t>5</w:t>
            </w:r>
            <w:r>
              <w:t xml:space="preserve"> (M)</w:t>
            </w:r>
          </w:p>
        </w:tc>
        <w:tc>
          <w:tcPr>
            <w:tcW w:w="1178" w:type="dxa"/>
            <w:noWrap/>
            <w:vAlign w:val="center"/>
            <w:hideMark/>
          </w:tcPr>
          <w:p>
            <w:pPr>
              <w:ind w:firstLine="0"/>
              <w:jc w:val="center"/>
            </w:pPr>
            <w:r>
              <w:t>1,8</w:t>
            </w:r>
            <w:r>
              <w:rPr>
                <w:szCs w:val="24"/>
                <w:lang w:eastAsia="ru-RU"/>
              </w:rPr>
              <w:t>×10</w:t>
            </w:r>
            <w:r>
              <w:rPr>
                <w:szCs w:val="24"/>
                <w:vertAlign w:val="superscript"/>
                <w:lang w:eastAsia="ru-RU"/>
              </w:rPr>
              <w:t>-13</w:t>
            </w:r>
          </w:p>
        </w:tc>
        <w:tc>
          <w:tcPr>
            <w:tcW w:w="1124" w:type="dxa"/>
            <w:noWrap/>
            <w:vAlign w:val="center"/>
            <w:hideMark/>
          </w:tcPr>
          <w:p>
            <w:pPr>
              <w:ind w:firstLine="0"/>
              <w:jc w:val="center"/>
            </w:pPr>
            <w:r>
              <w:t>0,83</w:t>
            </w:r>
          </w:p>
        </w:tc>
        <w:tc>
          <w:tcPr>
            <w:tcW w:w="1230" w:type="dxa"/>
            <w:noWrap/>
            <w:vAlign w:val="center"/>
            <w:hideMark/>
          </w:tcPr>
          <w:p>
            <w:pPr>
              <w:ind w:firstLine="0"/>
              <w:jc w:val="center"/>
            </w:pPr>
            <w:r>
              <w:t>6 422 528</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n19</w:t>
            </w:r>
          </w:p>
        </w:tc>
        <w:tc>
          <w:tcPr>
            <w:tcW w:w="3680" w:type="dxa"/>
            <w:noWrap/>
            <w:vAlign w:val="center"/>
            <w:hideMark/>
          </w:tcPr>
          <w:p>
            <w:pPr>
              <w:ind w:firstLine="0"/>
              <w:jc w:val="center"/>
              <w:rPr>
                <w:rFonts w:eastAsia="Times New Roman"/>
                <w:color w:val="000000"/>
                <w:spacing w:val="-10"/>
                <w:szCs w:val="24"/>
                <w:lang w:eastAsia="ru-RU"/>
              </w:rPr>
            </w:pPr>
            <w:r>
              <w:rPr>
                <w:rFonts w:eastAsia="Times New Roman"/>
                <w:color w:val="000000"/>
                <w:spacing w:val="-10"/>
                <w:szCs w:val="24"/>
                <w:lang w:eastAsia="ru-RU"/>
              </w:rPr>
              <w:t>Равные средние, разные СКО (25/25)</w:t>
            </w:r>
          </w:p>
        </w:tc>
        <w:tc>
          <w:tcPr>
            <w:tcW w:w="1557" w:type="dxa"/>
            <w:noWrap/>
            <w:vAlign w:val="center"/>
            <w:hideMark/>
          </w:tcPr>
          <w:p>
            <w:pPr>
              <w:ind w:firstLine="0"/>
              <w:jc w:val="center"/>
            </w:pPr>
            <w:r>
              <w:t>0,396 (W)</w:t>
            </w:r>
          </w:p>
        </w:tc>
        <w:tc>
          <w:tcPr>
            <w:tcW w:w="1178" w:type="dxa"/>
            <w:noWrap/>
            <w:vAlign w:val="center"/>
            <w:hideMark/>
          </w:tcPr>
          <w:p>
            <w:pPr>
              <w:ind w:firstLine="0"/>
              <w:jc w:val="center"/>
            </w:pPr>
            <w:r>
              <w:t>1,8</w:t>
            </w:r>
            <w:r>
              <w:rPr>
                <w:szCs w:val="24"/>
                <w:lang w:eastAsia="ru-RU"/>
              </w:rPr>
              <w:t>×10</w:t>
            </w:r>
            <w:r>
              <w:rPr>
                <w:szCs w:val="24"/>
                <w:vertAlign w:val="superscript"/>
                <w:lang w:eastAsia="ru-RU"/>
              </w:rPr>
              <w:t>-1</w:t>
            </w:r>
            <w:r>
              <w:rPr>
                <w:szCs w:val="24"/>
                <w:vertAlign w:val="superscript"/>
                <w:lang w:val="en-US" w:eastAsia="ru-RU"/>
              </w:rPr>
              <w:t>4</w:t>
            </w:r>
          </w:p>
        </w:tc>
        <w:tc>
          <w:tcPr>
            <w:tcW w:w="1124" w:type="dxa"/>
            <w:noWrap/>
            <w:vAlign w:val="center"/>
            <w:hideMark/>
          </w:tcPr>
          <w:p>
            <w:pPr>
              <w:ind w:firstLine="0"/>
              <w:jc w:val="center"/>
            </w:pPr>
            <w:r>
              <w:t>0,44</w:t>
            </w:r>
          </w:p>
        </w:tc>
        <w:tc>
          <w:tcPr>
            <w:tcW w:w="1230" w:type="dxa"/>
            <w:noWrap/>
            <w:vAlign w:val="center"/>
            <w:hideMark/>
          </w:tcPr>
          <w:p>
            <w:pPr>
              <w:ind w:firstLine="0"/>
              <w:jc w:val="center"/>
            </w:pPr>
            <w:r>
              <w:t>1 441 792</w:t>
            </w:r>
          </w:p>
        </w:tc>
      </w:tr>
      <w:tr>
        <w:tc>
          <w:tcPr>
            <w:tcW w:w="576"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n20</w:t>
            </w:r>
          </w:p>
        </w:tc>
        <w:tc>
          <w:tcPr>
            <w:tcW w:w="3680" w:type="dxa"/>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Разные средние (32/32)</w:t>
            </w:r>
          </w:p>
        </w:tc>
        <w:tc>
          <w:tcPr>
            <w:tcW w:w="1557" w:type="dxa"/>
            <w:noWrap/>
            <w:vAlign w:val="center"/>
            <w:hideMark/>
          </w:tcPr>
          <w:p>
            <w:pPr>
              <w:ind w:firstLine="0"/>
              <w:jc w:val="center"/>
            </w:pPr>
            <w:r>
              <w:t>1,2</w:t>
            </w:r>
            <w:r>
              <w:rPr>
                <w:szCs w:val="24"/>
                <w:lang w:eastAsia="ru-RU"/>
              </w:rPr>
              <w:t>×10</w:t>
            </w:r>
            <w:r>
              <w:rPr>
                <w:szCs w:val="24"/>
                <w:vertAlign w:val="superscript"/>
                <w:lang w:eastAsia="ru-RU"/>
              </w:rPr>
              <w:t>-</w:t>
            </w:r>
            <w:r>
              <w:rPr>
                <w:szCs w:val="24"/>
                <w:vertAlign w:val="superscript"/>
                <w:lang w:val="en-US" w:eastAsia="ru-RU"/>
              </w:rPr>
              <w:t>5</w:t>
            </w:r>
            <w:r>
              <w:t xml:space="preserve"> (W)</w:t>
            </w:r>
          </w:p>
        </w:tc>
        <w:tc>
          <w:tcPr>
            <w:tcW w:w="1178" w:type="dxa"/>
            <w:noWrap/>
            <w:vAlign w:val="center"/>
            <w:hideMark/>
          </w:tcPr>
          <w:p>
            <w:pPr>
              <w:ind w:firstLine="0"/>
              <w:jc w:val="center"/>
            </w:pPr>
            <w:r>
              <w:t>3,1</w:t>
            </w:r>
            <w:r>
              <w:rPr>
                <w:szCs w:val="24"/>
                <w:lang w:eastAsia="ru-RU"/>
              </w:rPr>
              <w:t>×10</w:t>
            </w:r>
            <w:r>
              <w:rPr>
                <w:szCs w:val="24"/>
                <w:vertAlign w:val="superscript"/>
                <w:lang w:eastAsia="ru-RU"/>
              </w:rPr>
              <w:t>-1</w:t>
            </w:r>
            <w:r>
              <w:rPr>
                <w:szCs w:val="24"/>
                <w:vertAlign w:val="superscript"/>
                <w:lang w:val="en-US" w:eastAsia="ru-RU"/>
              </w:rPr>
              <w:t>4</w:t>
            </w:r>
          </w:p>
        </w:tc>
        <w:tc>
          <w:tcPr>
            <w:tcW w:w="1124" w:type="dxa"/>
            <w:noWrap/>
            <w:vAlign w:val="center"/>
            <w:hideMark/>
          </w:tcPr>
          <w:p>
            <w:pPr>
              <w:ind w:firstLine="0"/>
              <w:jc w:val="center"/>
            </w:pPr>
            <w:r>
              <w:t>0,36</w:t>
            </w:r>
          </w:p>
        </w:tc>
        <w:tc>
          <w:tcPr>
            <w:tcW w:w="1230" w:type="dxa"/>
            <w:noWrap/>
            <w:vAlign w:val="center"/>
            <w:hideMark/>
          </w:tcPr>
          <w:p>
            <w:pPr>
              <w:ind w:firstLine="0"/>
              <w:jc w:val="center"/>
            </w:pPr>
            <w:r>
              <w:t>1 441 792</w:t>
            </w:r>
          </w:p>
        </w:tc>
      </w:tr>
    </w:tbl>
    <w:p>
      <w:pPr>
        <w:spacing w:before="100" w:beforeAutospacing="1"/>
      </w:pPr>
      <w:r>
        <w:t>Протокол продемонстрировал корректную работу логики автоматического выбора метода сравнения. Единственный сценарий (n15), содержащий константную выборку, вызвал ожидаемую ошибку вычисления, так как все значения были идентичными, что подтверждает корректность обработки исключительных ситуаций и предотвращает выдачу недостоверных статистических выводов при некорректных входных данных.</w:t>
      </w:r>
    </w:p>
    <w:p>
      <w:r>
        <w:t xml:space="preserve">Особое внимание было уделено оценке влияния упрощенного порога </w:t>
      </w:r>
      <m:oMath>
        <m:acc>
          <m:accPr>
            <m:ctrlPr>
              <w:rPr>
                <w:rFonts w:ascii="Cambria Math" w:hAnsi="Cambria Math"/>
              </w:rPr>
            </m:ctrlPr>
          </m:accPr>
          <m:e>
            <m:r>
              <w:rPr>
                <w:rFonts w:ascii="Cambria Math" w:hAnsi="Cambria Math"/>
              </w:rPr>
              <m:t>M</m:t>
            </m:r>
          </m:e>
        </m:acc>
      </m:oMath>
      <w:r>
        <w:t xml:space="preserve"> на результат теста Муда. В таблице</w:t>
      </w:r>
      <w:r>
        <w:fldChar w:fldCharType="begin"/>
      </w:r>
      <w:r>
        <w:instrText xml:space="preserve"> REF _Ref239677600 \h \##</w:instrText>
      </w:r>
      <w:r>
        <w:fldChar w:fldCharType="separate"/>
      </w:r>
      <w:r>
        <w:t xml:space="preserve"> 2</w:t>
      </w:r>
      <w:r>
        <w:fldChar w:fldCharType="end"/>
      </w:r>
      <w:r>
        <w:t xml:space="preserve"> представлены сравнительные данные p-значений, полученных протоколом (</w:t>
      </w:r>
      <m:oMath>
        <m:sSub>
          <m:sSubPr>
            <m:ctrlPr>
              <w:rPr>
                <w:rFonts w:ascii="Cambria Math" w:hAnsi="Cambria Math"/>
                <w:i/>
              </w:rPr>
            </m:ctrlPr>
          </m:sSubPr>
          <m:e>
            <m:r>
              <w:rPr>
                <w:rFonts w:ascii="Cambria Math" w:hAnsi="Cambria Math"/>
              </w:rPr>
              <m:t>p</m:t>
            </m:r>
          </m:e>
          <m:sub>
            <m:r>
              <w:rPr>
                <w:rFonts w:ascii="Cambria Math" w:hAnsi="Cambria Math"/>
              </w:rPr>
              <m:t>approx</m:t>
            </m:r>
          </m:sub>
        </m:sSub>
      </m:oMath>
      <w:r>
        <w:t>), и «золотого стандарта» (</w:t>
      </w:r>
      <m:oMath>
        <m:sSub>
          <m:sSubPr>
            <m:ctrlPr>
              <w:rPr>
                <w:rFonts w:ascii="Cambria Math" w:hAnsi="Cambria Math"/>
                <w:i/>
              </w:rPr>
            </m:ctrlPr>
          </m:sSubPr>
          <m:e>
            <m:r>
              <w:rPr>
                <w:rFonts w:ascii="Cambria Math" w:hAnsi="Cambria Math"/>
              </w:rPr>
              <m:t>p</m:t>
            </m:r>
          </m:e>
          <m:sub>
            <m:r>
              <w:rPr>
                <w:rFonts w:ascii="Cambria Math" w:hAnsi="Cambria Math"/>
              </w:rPr>
              <m:t>exact</m:t>
            </m:r>
          </m:sub>
        </m:sSub>
      </m:oMath>
      <w:r>
        <w:t xml:space="preserve">), вычисленного по истинной объединенной медиане. Оценка качества аппроксимации проводилась на всех валидных 19 сценариях (исключён </w:t>
      </w:r>
      <w:r>
        <w:rPr>
          <w:lang w:val="en-US"/>
        </w:rPr>
        <w:t>n</w:t>
      </w:r>
      <w:r>
        <w:t>15), причём каждый оценивался по 1000 случайно сгенерированным выборкам.</w:t>
      </w:r>
    </w:p>
    <w:p>
      <w:pPr>
        <w:pStyle w:val="af6"/>
      </w:pPr>
      <w:bookmarkStart w:id="2" w:name="_Ref239677600"/>
      <w:r>
        <w:t xml:space="preserve">Таблица </w:t>
      </w:r>
      <w:fldSimple w:instr=" SEQ Таблица \* ARABIC ">
        <w:r>
          <w:rPr>
            <w:noProof/>
          </w:rPr>
          <w:t>2</w:t>
        </w:r>
      </w:fldSimple>
      <w:bookmarkEnd w:id="2"/>
      <w:r>
        <w:t xml:space="preserve">. Сравнительные характеристики медианного теста при различных способах определения порога (усредненные данные, </w:t>
      </w:r>
      <w:r>
        <w:rPr>
          <w:lang w:val="en-US"/>
        </w:rPr>
        <w:t>N</w:t>
      </w:r>
      <w:r>
        <w:t xml:space="preserve"> = 1000)</w:t>
      </w:r>
    </w:p>
    <w:tbl>
      <w:tblPr>
        <w:tblStyle w:val="aff0"/>
        <w:tblW w:w="5000" w:type="pct"/>
        <w:jc w:val="center"/>
        <w:tblLook w:val="04A0" w:firstRow="1" w:lastRow="0" w:firstColumn="1" w:lastColumn="0" w:noHBand="0" w:noVBand="1"/>
      </w:tblPr>
      <w:tblGrid>
        <w:gridCol w:w="576"/>
        <w:gridCol w:w="3852"/>
        <w:gridCol w:w="1116"/>
        <w:gridCol w:w="1116"/>
        <w:gridCol w:w="1116"/>
        <w:gridCol w:w="1569"/>
      </w:tblGrid>
      <w:tr>
        <w:trPr>
          <w:trHeight w:val="20"/>
          <w:jc w:val="center"/>
        </w:trPr>
        <w:tc>
          <w:tcPr>
            <w:tcW w:w="308" w:type="pct"/>
            <w:vAlign w:val="center"/>
            <w:hideMark/>
          </w:tcPr>
          <w:p>
            <w:pPr>
              <w:ind w:firstLine="0"/>
              <w:jc w:val="center"/>
              <w:rPr>
                <w:b/>
                <w:bCs/>
                <w:szCs w:val="24"/>
                <w:lang w:val="en-US" w:eastAsia="ru-RU"/>
              </w:rPr>
            </w:pPr>
            <w:r>
              <w:rPr>
                <w:b/>
                <w:bCs/>
                <w:szCs w:val="24"/>
                <w:lang w:val="en-US" w:eastAsia="ru-RU"/>
              </w:rPr>
              <w:t>ID</w:t>
            </w:r>
          </w:p>
        </w:tc>
        <w:tc>
          <w:tcPr>
            <w:tcW w:w="2192" w:type="pct"/>
            <w:vAlign w:val="center"/>
            <w:hideMark/>
          </w:tcPr>
          <w:p>
            <w:pPr>
              <w:ind w:firstLine="0"/>
              <w:jc w:val="center"/>
              <w:rPr>
                <w:b/>
                <w:bCs/>
                <w:szCs w:val="24"/>
                <w:lang w:eastAsia="ru-RU"/>
              </w:rPr>
            </w:pPr>
            <w:r>
              <w:rPr>
                <w:b/>
                <w:bCs/>
                <w:szCs w:val="24"/>
                <w:lang w:eastAsia="ru-RU"/>
              </w:rPr>
              <w:t>Описание</w:t>
            </w:r>
          </w:p>
        </w:tc>
        <w:tc>
          <w:tcPr>
            <w:tcW w:w="466" w:type="pct"/>
            <w:vAlign w:val="center"/>
            <w:hideMark/>
          </w:tcPr>
          <w:p>
            <w:pPr>
              <w:ind w:firstLine="0"/>
              <w:jc w:val="center"/>
              <w:rPr>
                <w:b/>
                <w:bCs/>
                <w:szCs w:val="24"/>
                <w:lang w:eastAsia="ru-RU"/>
              </w:rPr>
            </w:pPr>
            <m:oMathPara>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exact</m:t>
                    </m:r>
                  </m:sub>
                </m:sSub>
              </m:oMath>
            </m:oMathPara>
          </w:p>
        </w:tc>
        <w:tc>
          <w:tcPr>
            <w:tcW w:w="597" w:type="pct"/>
            <w:vAlign w:val="center"/>
          </w:tcPr>
          <w:p>
            <w:pPr>
              <w:ind w:firstLine="0"/>
              <w:jc w:val="center"/>
              <w:rPr>
                <w:b/>
                <w:bCs/>
                <w:szCs w:val="24"/>
                <w:lang w:eastAsia="ru-RU"/>
              </w:rPr>
            </w:pPr>
            <m:oMathPara>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approx</m:t>
                    </m:r>
                  </m:sub>
                </m:sSub>
              </m:oMath>
            </m:oMathPara>
          </w:p>
        </w:tc>
        <w:tc>
          <w:tcPr>
            <w:tcW w:w="597" w:type="pct"/>
            <w:vAlign w:val="center"/>
            <w:hideMark/>
          </w:tcPr>
          <w:p>
            <w:pPr>
              <w:ind w:firstLine="0"/>
              <w:jc w:val="center"/>
              <w:rPr>
                <w:b/>
                <w:bCs/>
                <w:szCs w:val="24"/>
                <w:lang w:eastAsia="ru-RU"/>
              </w:rPr>
            </w:pPr>
            <w:proofErr w:type="spellStart"/>
            <w:r>
              <w:rPr>
                <w:b/>
                <w:bCs/>
                <w:szCs w:val="24"/>
                <w:lang w:eastAsia="ru-RU"/>
              </w:rPr>
              <w:t>Δp</w:t>
            </w:r>
            <w:proofErr w:type="spellEnd"/>
          </w:p>
        </w:tc>
        <w:tc>
          <w:tcPr>
            <w:tcW w:w="839" w:type="pct"/>
            <w:vAlign w:val="center"/>
          </w:tcPr>
          <w:p>
            <w:pPr>
              <w:ind w:firstLine="0"/>
              <w:jc w:val="center"/>
              <w:rPr>
                <w:b/>
                <w:bCs/>
                <w:szCs w:val="24"/>
                <w:lang w:eastAsia="ru-RU"/>
              </w:rPr>
            </w:pPr>
            <w:r>
              <w:rPr>
                <w:b/>
                <w:bCs/>
                <w:szCs w:val="24"/>
                <w:lang w:eastAsia="ru-RU"/>
              </w:rPr>
              <w:t>Совпадение, %</w:t>
            </w:r>
          </w:p>
        </w:tc>
      </w:tr>
      <w:tr>
        <w:trPr>
          <w:trHeight w:val="20"/>
          <w:jc w:val="center"/>
        </w:trPr>
        <w:tc>
          <w:tcPr>
            <w:tcW w:w="308" w:type="pct"/>
            <w:vAlign w:val="center"/>
            <w:hideMark/>
          </w:tcPr>
          <w:p>
            <w:pPr>
              <w:ind w:firstLine="0"/>
              <w:jc w:val="center"/>
              <w:rPr>
                <w:szCs w:val="24"/>
                <w:lang w:eastAsia="ru-RU"/>
              </w:rPr>
            </w:pPr>
            <w:r>
              <w:rPr>
                <w:szCs w:val="24"/>
                <w:lang w:eastAsia="ru-RU"/>
              </w:rPr>
              <w:t>n01</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Нормальные, равные (30/25)</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0,5165</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0,5651</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0,04858</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97,6</w:t>
            </w:r>
          </w:p>
        </w:tc>
      </w:tr>
      <w:tr>
        <w:trPr>
          <w:trHeight w:val="20"/>
          <w:jc w:val="center"/>
        </w:trPr>
        <w:tc>
          <w:tcPr>
            <w:tcW w:w="308" w:type="pct"/>
            <w:vAlign w:val="center"/>
            <w:hideMark/>
          </w:tcPr>
          <w:p>
            <w:pPr>
              <w:ind w:firstLine="0"/>
              <w:jc w:val="center"/>
              <w:rPr>
                <w:szCs w:val="24"/>
                <w:lang w:eastAsia="ru-RU"/>
              </w:rPr>
            </w:pPr>
            <w:r>
              <w:rPr>
                <w:szCs w:val="24"/>
                <w:lang w:eastAsia="ru-RU"/>
              </w:rPr>
              <w:t>n02</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Нормальные, смещенные (8/8)</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0,589</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0,5973</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0,008276</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94,3</w:t>
            </w:r>
          </w:p>
        </w:tc>
      </w:tr>
      <w:tr>
        <w:trPr>
          <w:trHeight w:val="20"/>
          <w:jc w:val="center"/>
        </w:trPr>
        <w:tc>
          <w:tcPr>
            <w:tcW w:w="308" w:type="pct"/>
            <w:vAlign w:val="center"/>
            <w:hideMark/>
          </w:tcPr>
          <w:p>
            <w:pPr>
              <w:ind w:firstLine="0"/>
              <w:jc w:val="center"/>
              <w:rPr>
                <w:szCs w:val="24"/>
                <w:lang w:eastAsia="ru-RU"/>
              </w:rPr>
            </w:pPr>
            <w:r>
              <w:rPr>
                <w:szCs w:val="24"/>
                <w:lang w:eastAsia="ru-RU"/>
              </w:rPr>
              <w:t>n03</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Нормальные, неравные (60/60)</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0,4603</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0,4922</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0,03191</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94,8</w:t>
            </w:r>
          </w:p>
        </w:tc>
      </w:tr>
      <w:tr>
        <w:trPr>
          <w:trHeight w:val="20"/>
          <w:jc w:val="center"/>
        </w:trPr>
        <w:tc>
          <w:tcPr>
            <w:tcW w:w="308" w:type="pct"/>
            <w:vAlign w:val="center"/>
            <w:hideMark/>
          </w:tcPr>
          <w:p>
            <w:pPr>
              <w:ind w:firstLine="0"/>
              <w:jc w:val="center"/>
              <w:rPr>
                <w:szCs w:val="24"/>
                <w:lang w:eastAsia="ru-RU"/>
              </w:rPr>
            </w:pPr>
            <w:r>
              <w:rPr>
                <w:szCs w:val="24"/>
                <w:lang w:eastAsia="ru-RU"/>
              </w:rPr>
              <w:t>n04</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Нормальные, (200/30)</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0,3506</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0,3853</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0,03466</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94,6</w:t>
            </w:r>
          </w:p>
        </w:tc>
      </w:tr>
      <w:tr>
        <w:trPr>
          <w:trHeight w:val="20"/>
          <w:jc w:val="center"/>
        </w:trPr>
        <w:tc>
          <w:tcPr>
            <w:tcW w:w="308" w:type="pct"/>
            <w:vAlign w:val="center"/>
            <w:hideMark/>
          </w:tcPr>
          <w:p>
            <w:pPr>
              <w:ind w:firstLine="0"/>
              <w:jc w:val="center"/>
              <w:rPr>
                <w:szCs w:val="24"/>
                <w:lang w:eastAsia="ru-RU"/>
              </w:rPr>
            </w:pPr>
            <w:r>
              <w:rPr>
                <w:szCs w:val="24"/>
                <w:lang w:eastAsia="ru-RU"/>
              </w:rPr>
              <w:t>n05</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Нормальные, (3/4)</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0,4756</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0,5881</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0,1125</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89,4</w:t>
            </w:r>
          </w:p>
        </w:tc>
      </w:tr>
      <w:tr>
        <w:trPr>
          <w:trHeight w:val="20"/>
          <w:jc w:val="center"/>
        </w:trPr>
        <w:tc>
          <w:tcPr>
            <w:tcW w:w="308" w:type="pct"/>
            <w:vAlign w:val="center"/>
            <w:hideMark/>
          </w:tcPr>
          <w:p>
            <w:pPr>
              <w:ind w:firstLine="0"/>
              <w:jc w:val="center"/>
              <w:rPr>
                <w:szCs w:val="24"/>
                <w:lang w:eastAsia="ru-RU"/>
              </w:rPr>
            </w:pPr>
            <w:r>
              <w:rPr>
                <w:szCs w:val="24"/>
                <w:lang w:eastAsia="ru-RU"/>
              </w:rPr>
              <w:t>n06</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Логнормальные (40/40)</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8,4</w:t>
            </w:r>
            <w:r>
              <w:rPr>
                <w:szCs w:val="24"/>
                <w:lang w:eastAsia="ru-RU"/>
              </w:rPr>
              <w:t>×10</w:t>
            </w:r>
            <w:r>
              <w:rPr>
                <w:szCs w:val="24"/>
                <w:vertAlign w:val="superscript"/>
                <w:lang w:eastAsia="ru-RU"/>
              </w:rPr>
              <w:t>-4</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8,7</w:t>
            </w:r>
            <w:r>
              <w:rPr>
                <w:szCs w:val="24"/>
                <w:lang w:eastAsia="ru-RU"/>
              </w:rPr>
              <w:t>×10</w:t>
            </w:r>
            <w:r>
              <w:rPr>
                <w:szCs w:val="24"/>
                <w:vertAlign w:val="superscript"/>
                <w:lang w:eastAsia="ru-RU"/>
              </w:rPr>
              <w:t>-4</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3,3</w:t>
            </w:r>
            <w:r>
              <w:rPr>
                <w:szCs w:val="24"/>
                <w:lang w:eastAsia="ru-RU"/>
              </w:rPr>
              <w:t>×10</w:t>
            </w:r>
            <w:r>
              <w:rPr>
                <w:szCs w:val="24"/>
                <w:vertAlign w:val="superscript"/>
                <w:lang w:eastAsia="ru-RU"/>
              </w:rPr>
              <w:t>-5</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99,6</w:t>
            </w:r>
          </w:p>
        </w:tc>
      </w:tr>
      <w:tr>
        <w:trPr>
          <w:trHeight w:val="20"/>
          <w:jc w:val="center"/>
        </w:trPr>
        <w:tc>
          <w:tcPr>
            <w:tcW w:w="308" w:type="pct"/>
            <w:vAlign w:val="center"/>
            <w:hideMark/>
          </w:tcPr>
          <w:p>
            <w:pPr>
              <w:ind w:firstLine="0"/>
              <w:jc w:val="center"/>
              <w:rPr>
                <w:szCs w:val="24"/>
                <w:lang w:eastAsia="ru-RU"/>
              </w:rPr>
            </w:pPr>
            <w:r>
              <w:rPr>
                <w:szCs w:val="24"/>
                <w:lang w:eastAsia="ru-RU"/>
              </w:rPr>
              <w:t>n07</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 xml:space="preserve">Гамма, </w:t>
            </w:r>
            <m:oMath>
              <m:r>
                <w:rPr>
                  <w:rFonts w:ascii="Cambria Math" w:eastAsia="Times New Roman" w:hAnsi="Cambria Math"/>
                  <w:color w:val="000000"/>
                  <w:szCs w:val="24"/>
                  <w:lang w:val="en-US" w:eastAsia="ru-RU"/>
                </w:rPr>
                <m:t>k</m:t>
              </m:r>
            </m:oMath>
            <w:r>
              <w:rPr>
                <w:rFonts w:eastAsia="Times New Roman"/>
                <w:color w:val="000000"/>
                <w:szCs w:val="24"/>
                <w:lang w:eastAsia="ru-RU"/>
              </w:rPr>
              <w:t xml:space="preserve"> = 2 (40/40)</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0,1381</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0,1551</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0,01703</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89,6</w:t>
            </w:r>
          </w:p>
        </w:tc>
      </w:tr>
      <w:tr>
        <w:trPr>
          <w:trHeight w:val="20"/>
          <w:jc w:val="center"/>
        </w:trPr>
        <w:tc>
          <w:tcPr>
            <w:tcW w:w="308" w:type="pct"/>
            <w:vAlign w:val="center"/>
            <w:hideMark/>
          </w:tcPr>
          <w:p>
            <w:pPr>
              <w:ind w:firstLine="0"/>
              <w:jc w:val="center"/>
              <w:rPr>
                <w:szCs w:val="24"/>
                <w:lang w:eastAsia="ru-RU"/>
              </w:rPr>
            </w:pPr>
            <w:r>
              <w:rPr>
                <w:szCs w:val="24"/>
                <w:lang w:eastAsia="ru-RU"/>
              </w:rPr>
              <w:t>n08</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Экспоненциальные (50/50)</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0,2279</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0,2468</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0,01895</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91,9</w:t>
            </w:r>
          </w:p>
        </w:tc>
      </w:tr>
      <w:tr>
        <w:trPr>
          <w:trHeight w:val="20"/>
          <w:jc w:val="center"/>
        </w:trPr>
        <w:tc>
          <w:tcPr>
            <w:tcW w:w="308" w:type="pct"/>
            <w:vAlign w:val="center"/>
            <w:hideMark/>
          </w:tcPr>
          <w:p>
            <w:pPr>
              <w:ind w:firstLine="0"/>
              <w:jc w:val="center"/>
              <w:rPr>
                <w:szCs w:val="24"/>
                <w:lang w:eastAsia="ru-RU"/>
              </w:rPr>
            </w:pPr>
            <w:r>
              <w:rPr>
                <w:szCs w:val="24"/>
                <w:lang w:eastAsia="ru-RU"/>
              </w:rPr>
              <w:t>n09</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Равномерные (35/35)</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0,002272</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0,003049</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7,8</w:t>
            </w:r>
            <w:r>
              <w:rPr>
                <w:szCs w:val="24"/>
                <w:lang w:eastAsia="ru-RU"/>
              </w:rPr>
              <w:t>×10</w:t>
            </w:r>
            <w:r>
              <w:rPr>
                <w:szCs w:val="24"/>
                <w:vertAlign w:val="superscript"/>
                <w:lang w:eastAsia="ru-RU"/>
              </w:rPr>
              <w:t>-4</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98,4</w:t>
            </w:r>
          </w:p>
        </w:tc>
      </w:tr>
      <w:tr>
        <w:trPr>
          <w:trHeight w:val="20"/>
          <w:jc w:val="center"/>
        </w:trPr>
        <w:tc>
          <w:tcPr>
            <w:tcW w:w="308" w:type="pct"/>
            <w:vAlign w:val="center"/>
            <w:hideMark/>
          </w:tcPr>
          <w:p>
            <w:pPr>
              <w:ind w:firstLine="0"/>
              <w:jc w:val="center"/>
              <w:rPr>
                <w:szCs w:val="24"/>
                <w:lang w:eastAsia="ru-RU"/>
              </w:rPr>
            </w:pPr>
            <w:r>
              <w:rPr>
                <w:szCs w:val="24"/>
                <w:lang w:eastAsia="ru-RU"/>
              </w:rPr>
              <w:t>n10</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t</w:t>
            </w:r>
            <w:r>
              <w:rPr>
                <w:rFonts w:eastAsia="Times New Roman"/>
                <w:color w:val="000000"/>
                <w:szCs w:val="24"/>
                <w:vertAlign w:val="subscript"/>
                <w:lang w:val="en-US" w:eastAsia="ru-RU"/>
              </w:rPr>
              <w:t>3</w:t>
            </w:r>
            <w:r>
              <w:rPr>
                <w:rFonts w:eastAsia="Times New Roman"/>
                <w:color w:val="000000"/>
                <w:szCs w:val="24"/>
                <w:lang w:eastAsia="ru-RU"/>
              </w:rPr>
              <w:t>, тяжёлый хвост (45/45)</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0,02554</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0,02823</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0,00269</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95,8</w:t>
            </w:r>
          </w:p>
        </w:tc>
      </w:tr>
      <w:tr>
        <w:trPr>
          <w:trHeight w:val="20"/>
          <w:jc w:val="center"/>
        </w:trPr>
        <w:tc>
          <w:tcPr>
            <w:tcW w:w="308" w:type="pct"/>
            <w:vAlign w:val="center"/>
            <w:hideMark/>
          </w:tcPr>
          <w:p>
            <w:pPr>
              <w:ind w:firstLine="0"/>
              <w:jc w:val="center"/>
              <w:rPr>
                <w:szCs w:val="24"/>
                <w:lang w:eastAsia="ru-RU"/>
              </w:rPr>
            </w:pPr>
            <w:r>
              <w:rPr>
                <w:szCs w:val="24"/>
                <w:lang w:eastAsia="ru-RU"/>
              </w:rPr>
              <w:t>n11</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Бимодальные (40/40)</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0,9996</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0,9986</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-0,0011</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100,0</w:t>
            </w:r>
          </w:p>
        </w:tc>
      </w:tr>
      <w:tr>
        <w:trPr>
          <w:trHeight w:val="20"/>
          <w:jc w:val="center"/>
        </w:trPr>
        <w:tc>
          <w:tcPr>
            <w:tcW w:w="308" w:type="pct"/>
            <w:vAlign w:val="center"/>
            <w:hideMark/>
          </w:tcPr>
          <w:p>
            <w:pPr>
              <w:ind w:firstLine="0"/>
              <w:jc w:val="center"/>
              <w:rPr>
                <w:szCs w:val="24"/>
                <w:lang w:eastAsia="ru-RU"/>
              </w:rPr>
            </w:pPr>
            <w:r>
              <w:rPr>
                <w:szCs w:val="24"/>
                <w:lang w:eastAsia="ru-RU"/>
              </w:rPr>
              <w:t>n12</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Дискретные 1:5 (50/50)</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0,5737</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0,6053</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0,0316</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97,7</w:t>
            </w:r>
          </w:p>
        </w:tc>
      </w:tr>
      <w:tr>
        <w:trPr>
          <w:trHeight w:val="20"/>
          <w:jc w:val="center"/>
        </w:trPr>
        <w:tc>
          <w:tcPr>
            <w:tcW w:w="308" w:type="pct"/>
            <w:vAlign w:val="center"/>
            <w:hideMark/>
          </w:tcPr>
          <w:p>
            <w:pPr>
              <w:ind w:firstLine="0"/>
              <w:jc w:val="center"/>
              <w:rPr>
                <w:szCs w:val="24"/>
                <w:lang w:eastAsia="ru-RU"/>
              </w:rPr>
            </w:pPr>
            <w:r>
              <w:rPr>
                <w:szCs w:val="24"/>
                <w:lang w:eastAsia="ru-RU"/>
              </w:rPr>
              <w:t>n13</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Нормальные (1000/1000)</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0,002378</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0,002466</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8,8</w:t>
            </w:r>
            <w:r>
              <w:rPr>
                <w:szCs w:val="24"/>
                <w:lang w:eastAsia="ru-RU"/>
              </w:rPr>
              <w:t>×10</w:t>
            </w:r>
            <w:r>
              <w:rPr>
                <w:szCs w:val="24"/>
                <w:vertAlign w:val="superscript"/>
                <w:lang w:eastAsia="ru-RU"/>
              </w:rPr>
              <w:t>-5</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99,7</w:t>
            </w:r>
          </w:p>
        </w:tc>
      </w:tr>
      <w:tr>
        <w:trPr>
          <w:trHeight w:val="20"/>
          <w:jc w:val="center"/>
        </w:trPr>
        <w:tc>
          <w:tcPr>
            <w:tcW w:w="308" w:type="pct"/>
            <w:vAlign w:val="center"/>
            <w:hideMark/>
          </w:tcPr>
          <w:p>
            <w:pPr>
              <w:ind w:firstLine="0"/>
              <w:jc w:val="center"/>
              <w:rPr>
                <w:szCs w:val="24"/>
                <w:lang w:eastAsia="ru-RU"/>
              </w:rPr>
            </w:pPr>
            <w:r>
              <w:rPr>
                <w:szCs w:val="24"/>
                <w:lang w:eastAsia="ru-RU"/>
              </w:rPr>
              <w:t>n14</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Граничный случай (11/12)</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0,1949</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0,2239</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0,02896</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85,5</w:t>
            </w:r>
          </w:p>
        </w:tc>
      </w:tr>
      <w:tr>
        <w:trPr>
          <w:trHeight w:val="20"/>
          <w:jc w:val="center"/>
        </w:trPr>
        <w:tc>
          <w:tcPr>
            <w:tcW w:w="308" w:type="pct"/>
            <w:vAlign w:val="center"/>
            <w:hideMark/>
          </w:tcPr>
          <w:p>
            <w:pPr>
              <w:ind w:firstLine="0"/>
              <w:jc w:val="center"/>
              <w:rPr>
                <w:szCs w:val="24"/>
                <w:lang w:eastAsia="ru-RU"/>
              </w:rPr>
            </w:pPr>
            <w:r>
              <w:rPr>
                <w:szCs w:val="24"/>
                <w:lang w:eastAsia="ru-RU"/>
              </w:rPr>
              <w:lastRenderedPageBreak/>
              <w:t>n16</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t</w:t>
            </w:r>
            <w:r>
              <w:rPr>
                <w:rFonts w:eastAsia="Times New Roman"/>
                <w:color w:val="000000"/>
                <w:szCs w:val="24"/>
                <w:vertAlign w:val="subscript"/>
                <w:lang w:val="en-US" w:eastAsia="ru-RU"/>
              </w:rPr>
              <w:t>2</w:t>
            </w:r>
            <w:r>
              <w:rPr>
                <w:rFonts w:eastAsia="Times New Roman"/>
                <w:color w:val="000000"/>
                <w:szCs w:val="24"/>
                <w:lang w:eastAsia="ru-RU"/>
              </w:rPr>
              <w:t>, n = 3/3</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0,5695</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0,6328</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0,0633</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100,0</w:t>
            </w:r>
          </w:p>
        </w:tc>
      </w:tr>
      <w:tr>
        <w:trPr>
          <w:trHeight w:val="20"/>
          <w:jc w:val="center"/>
        </w:trPr>
        <w:tc>
          <w:tcPr>
            <w:tcW w:w="308" w:type="pct"/>
            <w:vAlign w:val="center"/>
            <w:hideMark/>
          </w:tcPr>
          <w:p>
            <w:pPr>
              <w:ind w:firstLine="0"/>
              <w:jc w:val="center"/>
              <w:rPr>
                <w:szCs w:val="24"/>
                <w:lang w:eastAsia="ru-RU"/>
              </w:rPr>
            </w:pPr>
            <w:r>
              <w:rPr>
                <w:szCs w:val="24"/>
                <w:lang w:eastAsia="ru-RU"/>
              </w:rPr>
              <w:t>n17</w:t>
            </w:r>
          </w:p>
        </w:tc>
        <w:tc>
          <w:tcPr>
            <w:tcW w:w="2192" w:type="pct"/>
            <w:vAlign w:val="center"/>
            <w:hideMark/>
          </w:tcPr>
          <w:p>
            <w:pPr>
              <w:ind w:firstLine="0"/>
              <w:jc w:val="center"/>
              <w:rPr>
                <w:rFonts w:eastAsia="Times New Roman"/>
                <w:color w:val="000000"/>
                <w:szCs w:val="24"/>
                <w:lang w:eastAsia="ru-RU"/>
              </w:rPr>
            </w:pPr>
            <w:proofErr w:type="spellStart"/>
            <w:r>
              <w:rPr>
                <w:rFonts w:eastAsia="Times New Roman"/>
                <w:color w:val="000000"/>
                <w:szCs w:val="24"/>
                <w:lang w:eastAsia="ru-RU"/>
              </w:rPr>
              <w:t>Полунормальные</w:t>
            </w:r>
            <w:proofErr w:type="spellEnd"/>
            <w:r>
              <w:rPr>
                <w:rFonts w:eastAsia="Times New Roman"/>
                <w:color w:val="000000"/>
                <w:szCs w:val="24"/>
                <w:lang w:eastAsia="ru-RU"/>
              </w:rPr>
              <w:t xml:space="preserve"> (38/38)</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0,2451</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0,2646</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0,01955</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91,5</w:t>
            </w:r>
          </w:p>
        </w:tc>
      </w:tr>
      <w:tr>
        <w:trPr>
          <w:trHeight w:val="20"/>
          <w:jc w:val="center"/>
        </w:trPr>
        <w:tc>
          <w:tcPr>
            <w:tcW w:w="308" w:type="pct"/>
            <w:vAlign w:val="center"/>
            <w:hideMark/>
          </w:tcPr>
          <w:p>
            <w:pPr>
              <w:ind w:firstLine="0"/>
              <w:jc w:val="center"/>
              <w:rPr>
                <w:szCs w:val="24"/>
                <w:lang w:eastAsia="ru-RU"/>
              </w:rPr>
            </w:pPr>
            <w:r>
              <w:rPr>
                <w:szCs w:val="24"/>
                <w:lang w:eastAsia="ru-RU"/>
              </w:rPr>
              <w:t>n18</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Пуассона (60/60)</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0,00686</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0,009429</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0,00257</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97,2</w:t>
            </w:r>
          </w:p>
        </w:tc>
      </w:tr>
      <w:tr>
        <w:trPr>
          <w:trHeight w:val="20"/>
          <w:jc w:val="center"/>
        </w:trPr>
        <w:tc>
          <w:tcPr>
            <w:tcW w:w="308" w:type="pct"/>
            <w:vAlign w:val="center"/>
            <w:hideMark/>
          </w:tcPr>
          <w:p>
            <w:pPr>
              <w:ind w:firstLine="0"/>
              <w:jc w:val="center"/>
              <w:rPr>
                <w:szCs w:val="24"/>
                <w:lang w:eastAsia="ru-RU"/>
              </w:rPr>
            </w:pPr>
            <w:r>
              <w:rPr>
                <w:szCs w:val="24"/>
                <w:lang w:eastAsia="ru-RU"/>
              </w:rPr>
              <w:t>n19</w:t>
            </w:r>
          </w:p>
        </w:tc>
        <w:tc>
          <w:tcPr>
            <w:tcW w:w="2192" w:type="pct"/>
            <w:vAlign w:val="center"/>
            <w:hideMark/>
          </w:tcPr>
          <w:p>
            <w:pPr>
              <w:ind w:firstLine="0"/>
              <w:jc w:val="center"/>
              <w:rPr>
                <w:rFonts w:eastAsia="Times New Roman"/>
                <w:color w:val="000000"/>
                <w:spacing w:val="-8"/>
                <w:szCs w:val="24"/>
                <w:lang w:eastAsia="ru-RU"/>
              </w:rPr>
            </w:pPr>
            <w:r>
              <w:rPr>
                <w:rFonts w:eastAsia="Times New Roman"/>
                <w:color w:val="000000"/>
                <w:spacing w:val="-8"/>
                <w:szCs w:val="24"/>
                <w:lang w:eastAsia="ru-RU"/>
              </w:rPr>
              <w:t>Равные средние, разные СКО (25/25)</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0,5425</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0,6067</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0,0642</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96,2</w:t>
            </w:r>
          </w:p>
        </w:tc>
      </w:tr>
      <w:tr>
        <w:trPr>
          <w:trHeight w:val="20"/>
          <w:jc w:val="center"/>
        </w:trPr>
        <w:tc>
          <w:tcPr>
            <w:tcW w:w="308" w:type="pct"/>
            <w:vAlign w:val="center"/>
            <w:hideMark/>
          </w:tcPr>
          <w:p>
            <w:pPr>
              <w:ind w:firstLine="0"/>
              <w:jc w:val="center"/>
              <w:rPr>
                <w:szCs w:val="24"/>
                <w:lang w:eastAsia="ru-RU"/>
              </w:rPr>
            </w:pPr>
            <w:r>
              <w:rPr>
                <w:szCs w:val="24"/>
                <w:lang w:eastAsia="ru-RU"/>
              </w:rPr>
              <w:t>n20</w:t>
            </w:r>
          </w:p>
        </w:tc>
        <w:tc>
          <w:tcPr>
            <w:tcW w:w="2192" w:type="pct"/>
            <w:vAlign w:val="center"/>
            <w:hideMark/>
          </w:tcPr>
          <w:p>
            <w:pPr>
              <w:ind w:firstLine="0"/>
              <w:jc w:val="center"/>
              <w:rPr>
                <w:rFonts w:eastAsia="Times New Roman"/>
                <w:color w:val="000000"/>
                <w:szCs w:val="24"/>
                <w:lang w:eastAsia="ru-RU"/>
              </w:rPr>
            </w:pPr>
            <w:r>
              <w:rPr>
                <w:rFonts w:eastAsia="Times New Roman"/>
                <w:color w:val="000000"/>
                <w:szCs w:val="24"/>
                <w:lang w:eastAsia="ru-RU"/>
              </w:rPr>
              <w:t>Разные средние (32/32)</w:t>
            </w:r>
          </w:p>
        </w:tc>
        <w:tc>
          <w:tcPr>
            <w:tcW w:w="466" w:type="pct"/>
            <w:vAlign w:val="center"/>
          </w:tcPr>
          <w:p>
            <w:pPr>
              <w:ind w:firstLine="0"/>
              <w:jc w:val="center"/>
              <w:rPr>
                <w:rFonts w:eastAsia="Times New Roman"/>
                <w:color w:val="000000"/>
                <w:szCs w:val="24"/>
                <w:lang w:eastAsia="ru-RU"/>
              </w:rPr>
            </w:pPr>
            <w:r>
              <w:rPr>
                <w:rFonts w:eastAsia="Times New Roman"/>
                <w:color w:val="000000"/>
                <w:szCs w:val="24"/>
                <w:lang w:eastAsia="ru-RU"/>
              </w:rPr>
              <w:t>0,03242</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0,03581</w:t>
            </w:r>
          </w:p>
        </w:tc>
        <w:tc>
          <w:tcPr>
            <w:tcW w:w="597" w:type="pct"/>
            <w:vAlign w:val="center"/>
          </w:tcPr>
          <w:p>
            <w:pPr>
              <w:ind w:firstLine="0"/>
              <w:jc w:val="center"/>
              <w:rPr>
                <w:rFonts w:eastAsia="Times New Roman"/>
                <w:color w:val="000000"/>
                <w:szCs w:val="24"/>
                <w:lang w:eastAsia="ru-RU"/>
              </w:rPr>
            </w:pPr>
            <w:r>
              <w:rPr>
                <w:rFonts w:eastAsia="Times New Roman"/>
                <w:color w:val="000000"/>
                <w:szCs w:val="24"/>
                <w:lang w:eastAsia="ru-RU"/>
              </w:rPr>
              <w:t>0,00339</w:t>
            </w:r>
          </w:p>
        </w:tc>
        <w:tc>
          <w:tcPr>
            <w:tcW w:w="839" w:type="pct"/>
            <w:vAlign w:val="center"/>
          </w:tcPr>
          <w:p>
            <w:pPr>
              <w:ind w:firstLine="0"/>
              <w:jc w:val="center"/>
              <w:rPr>
                <w:rFonts w:eastAsia="Times New Roman"/>
                <w:color w:val="000000"/>
                <w:szCs w:val="24"/>
                <w:lang w:eastAsia="ru-RU"/>
              </w:rPr>
            </w:pPr>
            <w:r>
              <w:rPr>
                <w:rFonts w:eastAsia="Times New Roman"/>
                <w:color w:val="000000"/>
                <w:szCs w:val="24"/>
                <w:lang w:eastAsia="ru-RU"/>
              </w:rPr>
              <w:t>94,2</w:t>
            </w:r>
          </w:p>
        </w:tc>
      </w:tr>
    </w:tbl>
    <w:p>
      <w:pPr>
        <w:spacing w:before="100" w:beforeAutospacing="1"/>
      </w:pPr>
      <w:r>
        <w:t xml:space="preserve">Анализ показал, что использование аппроксимации </w:t>
      </w:r>
      <m:oMath>
        <m:acc>
          <m:accPr>
            <m:ctrlPr>
              <w:rPr>
                <w:rFonts w:ascii="Cambria Math" w:hAnsi="Cambria Math"/>
              </w:rPr>
            </m:ctrlPr>
          </m:accPr>
          <m:e>
            <m:r>
              <w:rPr>
                <w:rFonts w:ascii="Cambria Math" w:hAnsi="Cambria Math"/>
              </w:rPr>
              <m:t>M</m:t>
            </m:r>
          </m:e>
        </m:acc>
      </m:oMath>
      <w:r>
        <w:t xml:space="preserve"> приводит к численным расхождениям p-значений: среднее абсолютное расхождение по 19 сценариям составило 0,026, а максимальное – 0,1125 (</w:t>
      </w:r>
      <w:r>
        <w:rPr>
          <w:lang w:val="en-US"/>
        </w:rPr>
        <w:t>n</w:t>
      </w:r>
      <w:r>
        <w:t>05). В контексте бинарного принятия решения о статистической значимости (</w:t>
      </w:r>
      <m:oMath>
        <m:r>
          <m:rPr>
            <m:sty m:val="p"/>
          </m:rPr>
          <w:rPr>
            <w:rFonts w:ascii="Cambria Math" w:hAnsi="Cambria Math"/>
          </w:rPr>
          <m:t>α</m:t>
        </m:r>
        <m:r>
          <w:rPr>
            <w:rFonts w:ascii="Cambria Math" w:hAnsi="Cambria Math"/>
          </w:rPr>
          <m:t>= 0,05</m:t>
        </m:r>
      </m:oMath>
      <w:r>
        <w:t>) протокол показал высокую устойчивость: совпадение решений с эталоном составило от 85,5 до 100%. Таким образом, предложенный компромисс позволяет проводить децентрализованный анализ без критической потери диагностической ценности.</w:t>
      </w:r>
    </w:p>
    <w:p>
      <w:r>
        <w:t>Режим симуляции (таблица</w:t>
      </w:r>
      <w:r>
        <w:fldChar w:fldCharType="begin"/>
      </w:r>
      <w:r>
        <w:instrText xml:space="preserve"> REF _Ref239677565 \h \##</w:instrText>
      </w:r>
      <w:r>
        <w:fldChar w:fldCharType="separate"/>
      </w:r>
      <w:r>
        <w:t xml:space="preserve"> 1</w:t>
      </w:r>
      <w:r>
        <w:fldChar w:fldCharType="end"/>
      </w:r>
      <w:r>
        <w:t xml:space="preserve">) использовался для массовой валидации статистической точности протокола на всей выборке сценариев, как позволяющий быстро проверить корректность реализованных математических функций. Режим полного доказательства применялся для оценки эксплуатационных характеристик системы в реальных условиях, подтверждая возможность генерации </w:t>
      </w:r>
      <w:proofErr w:type="spellStart"/>
      <w:r>
        <w:t>криптографически</w:t>
      </w:r>
      <w:proofErr w:type="spellEnd"/>
      <w:r>
        <w:t xml:space="preserve"> стойких доказательств и измеряя вычислительные затраты (время и циклы), необходимые для обеспечения целостности данных в децентрализованной среде.</w:t>
      </w:r>
    </w:p>
    <w:p>
      <w:r>
        <w:t xml:space="preserve">Так, в режиме симуляции время выполнения полного цикла сравнения составило от 0,4 до 2,1 секунды в зависимости от сценария, что позволяет использовать протокол для быстрой отладки. Генерация полноценных STARK-доказательств потребовала значительных вычислительных ресурсов: время формирования доказательства составило от 368 секунд для малых выборок до 13 948 секунд (около 4 часов) для массивов данных объемом </w:t>
      </w:r>
      <m:oMath>
        <m:r>
          <w:rPr>
            <w:rFonts w:ascii="Cambria Math" w:hAnsi="Cambria Math"/>
          </w:rPr>
          <m:t>n = 1000</m:t>
        </m:r>
      </m:oMath>
      <w:r>
        <w:t xml:space="preserve"> в каждой группе (таблица</w:t>
      </w:r>
      <w:r>
        <w:fldChar w:fldCharType="begin"/>
      </w:r>
      <w:r>
        <w:instrText xml:space="preserve"> REF _Ref239677814 \h \##</w:instrText>
      </w:r>
      <w:r>
        <w:fldChar w:fldCharType="separate"/>
      </w:r>
      <w:r>
        <w:t xml:space="preserve"> 3</w:t>
      </w:r>
      <w:r>
        <w:fldChar w:fldCharType="end"/>
      </w:r>
      <w:r>
        <w:t>).</w:t>
      </w:r>
    </w:p>
    <w:p>
      <w:pPr>
        <w:pStyle w:val="af6"/>
      </w:pPr>
      <w:bookmarkStart w:id="3" w:name="_Ref239677814"/>
      <w:r>
        <w:t xml:space="preserve">Таблица </w:t>
      </w:r>
      <w:fldSimple w:instr=" SEQ Таблица \* ARABIC ">
        <w:r>
          <w:rPr>
            <w:noProof/>
          </w:rPr>
          <w:t>3</w:t>
        </w:r>
      </w:fldSimple>
      <w:bookmarkEnd w:id="3"/>
      <w:r>
        <w:t xml:space="preserve">. Характеристики генерации полных </w:t>
      </w:r>
      <w:proofErr w:type="spellStart"/>
      <w:r>
        <w:t>zk</w:t>
      </w:r>
      <w:proofErr w:type="spellEnd"/>
      <w:r>
        <w:t>-STARK доказательств</w:t>
      </w:r>
    </w:p>
    <w:tbl>
      <w:tblPr>
        <w:tblStyle w:val="aff0"/>
        <w:tblW w:w="0" w:type="auto"/>
        <w:tblCellMar>
          <w:left w:w="57" w:type="dxa"/>
          <w:right w:w="57" w:type="dxa"/>
        </w:tblCellMar>
        <w:tblLook w:val="04A0" w:firstRow="1" w:lastRow="0" w:firstColumn="1" w:lastColumn="0" w:noHBand="0" w:noVBand="1"/>
      </w:tblPr>
      <w:tblGrid>
        <w:gridCol w:w="555"/>
        <w:gridCol w:w="5130"/>
        <w:gridCol w:w="1256"/>
        <w:gridCol w:w="1012"/>
        <w:gridCol w:w="1392"/>
      </w:tblGrid>
      <w:tr>
        <w:tc>
          <w:tcPr>
            <w:tcW w:w="555" w:type="dxa"/>
            <w:shd w:val="clear" w:color="auto" w:fill="auto"/>
            <w:noWrap/>
            <w:vAlign w:val="center"/>
            <w:hideMark/>
          </w:tcPr>
          <w:p>
            <w:pPr>
              <w:ind w:firstLine="0"/>
              <w:jc w:val="center"/>
              <w:rPr>
                <w:rFonts w:eastAsia="Times New Roman"/>
                <w:b/>
                <w:bCs/>
                <w:color w:val="000000"/>
                <w:szCs w:val="24"/>
                <w:lang w:val="en-US" w:eastAsia="ru-RU"/>
              </w:rPr>
            </w:pPr>
            <w:r>
              <w:rPr>
                <w:rFonts w:eastAsia="Times New Roman"/>
                <w:b/>
                <w:bCs/>
                <w:color w:val="000000"/>
                <w:szCs w:val="24"/>
                <w:lang w:val="en-US" w:eastAsia="ru-RU"/>
              </w:rPr>
              <w:t>ID</w:t>
            </w:r>
          </w:p>
        </w:tc>
        <w:tc>
          <w:tcPr>
            <w:tcW w:w="5130" w:type="dxa"/>
            <w:shd w:val="clear" w:color="auto" w:fill="auto"/>
            <w:noWrap/>
            <w:vAlign w:val="center"/>
            <w:hideMark/>
          </w:tcPr>
          <w:p>
            <w:pPr>
              <w:ind w:firstLine="0"/>
              <w:jc w:val="center"/>
              <w:rPr>
                <w:rFonts w:eastAsia="Times New Roman"/>
                <w:b/>
                <w:bCs/>
                <w:color w:val="000000"/>
                <w:szCs w:val="24"/>
                <w:lang w:eastAsia="ru-RU"/>
              </w:rPr>
            </w:pPr>
            <w:r>
              <w:rPr>
                <w:rFonts w:eastAsia="Times New Roman"/>
                <w:b/>
                <w:bCs/>
                <w:color w:val="000000"/>
                <w:szCs w:val="24"/>
                <w:lang w:eastAsia="ru-RU"/>
              </w:rPr>
              <w:t>Описание распределения выборки, дисперсии (</w:t>
            </w:r>
            <w:r>
              <w:rPr>
                <w:rFonts w:eastAsia="Times New Roman"/>
                <w:b/>
                <w:bCs/>
                <w:color w:val="000000"/>
                <w:szCs w:val="24"/>
                <w:lang w:val="en-US" w:eastAsia="ru-RU"/>
              </w:rPr>
              <w:t>n</w:t>
            </w:r>
            <w:r>
              <w:rPr>
                <w:rFonts w:eastAsia="Times New Roman"/>
                <w:b/>
                <w:bCs/>
                <w:color w:val="000000"/>
                <w:szCs w:val="24"/>
                <w:vertAlign w:val="subscript"/>
                <w:lang w:eastAsia="ru-RU"/>
              </w:rPr>
              <w:t>1</w:t>
            </w:r>
            <w:r>
              <w:rPr>
                <w:rFonts w:eastAsia="Times New Roman"/>
                <w:b/>
                <w:bCs/>
                <w:color w:val="000000"/>
                <w:szCs w:val="24"/>
                <w:lang w:eastAsia="ru-RU"/>
              </w:rPr>
              <w:t>/</w:t>
            </w:r>
            <w:r>
              <w:rPr>
                <w:rFonts w:eastAsia="Times New Roman"/>
                <w:b/>
                <w:bCs/>
                <w:color w:val="000000"/>
                <w:szCs w:val="24"/>
                <w:lang w:val="en-US" w:eastAsia="ru-RU"/>
              </w:rPr>
              <w:t>n</w:t>
            </w:r>
            <w:r>
              <w:rPr>
                <w:rFonts w:eastAsia="Times New Roman"/>
                <w:b/>
                <w:bCs/>
                <w:color w:val="000000"/>
                <w:szCs w:val="24"/>
                <w:vertAlign w:val="subscript"/>
                <w:lang w:eastAsia="ru-RU"/>
              </w:rPr>
              <w:t>2</w:t>
            </w:r>
            <w:r>
              <w:rPr>
                <w:rFonts w:eastAsia="Times New Roman"/>
                <w:b/>
                <w:bCs/>
                <w:color w:val="000000"/>
                <w:szCs w:val="24"/>
                <w:lang w:eastAsia="ru-RU"/>
              </w:rPr>
              <w:t>)</w:t>
            </w:r>
          </w:p>
        </w:tc>
        <w:tc>
          <w:tcPr>
            <w:tcW w:w="1256" w:type="dxa"/>
            <w:shd w:val="clear" w:color="auto" w:fill="auto"/>
            <w:noWrap/>
            <w:vAlign w:val="center"/>
            <w:hideMark/>
          </w:tcPr>
          <w:p>
            <w:pPr>
              <w:ind w:firstLine="0"/>
              <w:jc w:val="center"/>
              <w:rPr>
                <w:rFonts w:eastAsia="Times New Roman"/>
                <w:b/>
                <w:bCs/>
                <w:color w:val="000000"/>
                <w:szCs w:val="24"/>
                <w:lang w:eastAsia="ru-RU"/>
              </w:rPr>
            </w:pPr>
            <w:r>
              <w:rPr>
                <w:rFonts w:eastAsia="Times New Roman"/>
                <w:b/>
                <w:bCs/>
                <w:color w:val="000000"/>
                <w:szCs w:val="24"/>
                <w:lang w:eastAsia="ru-RU"/>
              </w:rPr>
              <w:t>Ошибка</w:t>
            </w:r>
          </w:p>
        </w:tc>
        <w:tc>
          <w:tcPr>
            <w:tcW w:w="1012" w:type="dxa"/>
            <w:shd w:val="clear" w:color="auto" w:fill="auto"/>
            <w:noWrap/>
            <w:vAlign w:val="center"/>
            <w:hideMark/>
          </w:tcPr>
          <w:p>
            <w:pPr>
              <w:ind w:firstLine="0"/>
              <w:jc w:val="center"/>
              <w:rPr>
                <w:rFonts w:eastAsia="Times New Roman"/>
                <w:b/>
                <w:bCs/>
                <w:color w:val="000000"/>
                <w:szCs w:val="24"/>
                <w:lang w:eastAsia="ru-RU"/>
              </w:rPr>
            </w:pPr>
            <w:r>
              <w:rPr>
                <w:rFonts w:eastAsia="Times New Roman"/>
                <w:b/>
                <w:bCs/>
                <w:color w:val="000000"/>
                <w:szCs w:val="24"/>
                <w:lang w:eastAsia="ru-RU"/>
              </w:rPr>
              <w:t>Время, с</w:t>
            </w:r>
          </w:p>
        </w:tc>
        <w:tc>
          <w:tcPr>
            <w:tcW w:w="1392" w:type="dxa"/>
            <w:shd w:val="clear" w:color="auto" w:fill="auto"/>
            <w:noWrap/>
            <w:vAlign w:val="center"/>
            <w:hideMark/>
          </w:tcPr>
          <w:p>
            <w:pPr>
              <w:ind w:firstLine="0"/>
              <w:jc w:val="center"/>
              <w:rPr>
                <w:rFonts w:eastAsia="Times New Roman"/>
                <w:b/>
                <w:bCs/>
                <w:color w:val="000000"/>
                <w:szCs w:val="24"/>
                <w:lang w:eastAsia="ru-RU"/>
              </w:rPr>
            </w:pPr>
            <w:r>
              <w:rPr>
                <w:rFonts w:eastAsia="Times New Roman"/>
                <w:b/>
                <w:bCs/>
                <w:color w:val="000000"/>
                <w:szCs w:val="24"/>
                <w:lang w:eastAsia="ru-RU"/>
              </w:rPr>
              <w:t>Циклы</w:t>
            </w:r>
          </w:p>
        </w:tc>
      </w:tr>
      <w:tr>
        <w:tc>
          <w:tcPr>
            <w:tcW w:w="555" w:type="dxa"/>
            <w:shd w:val="clear" w:color="auto" w:fill="auto"/>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n01</w:t>
            </w:r>
          </w:p>
        </w:tc>
        <w:tc>
          <w:tcPr>
            <w:tcW w:w="5130" w:type="dxa"/>
            <w:shd w:val="clear" w:color="auto" w:fill="auto"/>
            <w:noWrap/>
            <w:vAlign w:val="center"/>
            <w:hideMark/>
          </w:tcPr>
          <w:p>
            <w:pPr>
              <w:ind w:firstLine="0"/>
              <w:jc w:val="center"/>
              <w:rPr>
                <w:rFonts w:eastAsia="Times New Roman"/>
                <w:color w:val="000000"/>
                <w:szCs w:val="24"/>
                <w:lang w:val="en-US" w:eastAsia="ru-RU"/>
              </w:rPr>
            </w:pPr>
            <w:r>
              <w:rPr>
                <w:rFonts w:eastAsia="Times New Roman"/>
                <w:color w:val="000000"/>
                <w:szCs w:val="24"/>
                <w:lang w:eastAsia="ru-RU"/>
              </w:rPr>
              <w:t>Нормальные, равные (30/25)</w:t>
            </w:r>
          </w:p>
        </w:tc>
        <w:tc>
          <w:tcPr>
            <w:tcW w:w="1256" w:type="dxa"/>
            <w:shd w:val="clear" w:color="auto" w:fill="auto"/>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8,40×10</w:t>
            </w:r>
            <w:r>
              <w:rPr>
                <w:rFonts w:eastAsia="Times New Roman"/>
                <w:color w:val="000000"/>
                <w:szCs w:val="24"/>
                <w:vertAlign w:val="superscript"/>
                <w:lang w:eastAsia="ru-RU"/>
              </w:rPr>
              <w:t>-14</w:t>
            </w:r>
          </w:p>
        </w:tc>
        <w:tc>
          <w:tcPr>
            <w:tcW w:w="1012" w:type="dxa"/>
            <w:shd w:val="clear" w:color="auto" w:fill="auto"/>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817</w:t>
            </w:r>
          </w:p>
        </w:tc>
        <w:tc>
          <w:tcPr>
            <w:tcW w:w="1392" w:type="dxa"/>
            <w:shd w:val="clear" w:color="auto" w:fill="auto"/>
            <w:noWrap/>
            <w:vAlign w:val="center"/>
            <w:hideMark/>
          </w:tcPr>
          <w:p>
            <w:pPr>
              <w:ind w:firstLine="0"/>
              <w:jc w:val="center"/>
            </w:pPr>
            <w:r>
              <w:t>1 441 792</w:t>
            </w:r>
          </w:p>
        </w:tc>
      </w:tr>
      <w:tr>
        <w:tc>
          <w:tcPr>
            <w:tcW w:w="555" w:type="dxa"/>
            <w:shd w:val="clear" w:color="auto" w:fill="auto"/>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n02</w:t>
            </w:r>
          </w:p>
        </w:tc>
        <w:tc>
          <w:tcPr>
            <w:tcW w:w="5130" w:type="dxa"/>
            <w:shd w:val="clear" w:color="auto" w:fill="auto"/>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Нормальные, смещенные (8/8)</w:t>
            </w:r>
          </w:p>
        </w:tc>
        <w:tc>
          <w:tcPr>
            <w:tcW w:w="1256" w:type="dxa"/>
            <w:shd w:val="clear" w:color="auto" w:fill="auto"/>
            <w:noWrap/>
            <w:vAlign w:val="center"/>
            <w:hideMark/>
          </w:tcPr>
          <w:p>
            <w:pPr>
              <w:ind w:firstLine="0"/>
              <w:jc w:val="center"/>
              <w:rPr>
                <w:rFonts w:eastAsia="Times New Roman"/>
                <w:color w:val="000000"/>
                <w:szCs w:val="24"/>
                <w:lang w:val="en-US" w:eastAsia="ru-RU"/>
              </w:rPr>
            </w:pPr>
            <w:r>
              <w:rPr>
                <w:rFonts w:eastAsia="Times New Roman"/>
                <w:color w:val="000000"/>
                <w:szCs w:val="24"/>
                <w:lang w:eastAsia="ru-RU"/>
              </w:rPr>
              <w:t>1,50×10</w:t>
            </w:r>
            <w:r>
              <w:rPr>
                <w:rFonts w:eastAsia="Times New Roman"/>
                <w:color w:val="000000"/>
                <w:szCs w:val="24"/>
                <w:vertAlign w:val="superscript"/>
                <w:lang w:eastAsia="ru-RU"/>
              </w:rPr>
              <w:t>-1</w:t>
            </w:r>
            <w:r>
              <w:rPr>
                <w:rFonts w:eastAsia="Times New Roman"/>
                <w:color w:val="000000"/>
                <w:szCs w:val="24"/>
                <w:vertAlign w:val="superscript"/>
                <w:lang w:val="en-US" w:eastAsia="ru-RU"/>
              </w:rPr>
              <w:t>3</w:t>
            </w:r>
          </w:p>
        </w:tc>
        <w:tc>
          <w:tcPr>
            <w:tcW w:w="1012" w:type="dxa"/>
            <w:shd w:val="clear" w:color="auto" w:fill="auto"/>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515</w:t>
            </w:r>
          </w:p>
        </w:tc>
        <w:tc>
          <w:tcPr>
            <w:tcW w:w="1392" w:type="dxa"/>
            <w:shd w:val="clear" w:color="auto" w:fill="auto"/>
            <w:noWrap/>
            <w:vAlign w:val="center"/>
            <w:hideMark/>
          </w:tcPr>
          <w:p>
            <w:pPr>
              <w:ind w:firstLine="0"/>
              <w:jc w:val="center"/>
            </w:pPr>
            <w:r>
              <w:t>917 504</w:t>
            </w:r>
          </w:p>
        </w:tc>
      </w:tr>
      <w:tr>
        <w:tc>
          <w:tcPr>
            <w:tcW w:w="555" w:type="dxa"/>
            <w:shd w:val="clear" w:color="auto" w:fill="auto"/>
            <w:noWrap/>
            <w:vAlign w:val="center"/>
          </w:tcPr>
          <w:p>
            <w:pPr>
              <w:ind w:firstLine="0"/>
              <w:jc w:val="center"/>
              <w:rPr>
                <w:szCs w:val="24"/>
                <w:lang w:eastAsia="ru-RU"/>
              </w:rPr>
            </w:pPr>
            <w:r>
              <w:rPr>
                <w:szCs w:val="24"/>
                <w:lang w:eastAsia="ru-RU"/>
              </w:rPr>
              <w:t>n03</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Нормальные, неравные (60/60)</w:t>
            </w:r>
          </w:p>
        </w:tc>
        <w:tc>
          <w:tcPr>
            <w:tcW w:w="1256"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5,30×10</w:t>
            </w:r>
            <w:r>
              <w:rPr>
                <w:rFonts w:eastAsia="Times New Roman"/>
                <w:color w:val="000000"/>
                <w:szCs w:val="24"/>
                <w:vertAlign w:val="superscript"/>
                <w:lang w:eastAsia="ru-RU"/>
              </w:rPr>
              <w:t>-14</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1 402</w:t>
            </w:r>
          </w:p>
        </w:tc>
        <w:tc>
          <w:tcPr>
            <w:tcW w:w="1392" w:type="dxa"/>
            <w:shd w:val="clear" w:color="auto" w:fill="auto"/>
            <w:noWrap/>
            <w:vAlign w:val="center"/>
          </w:tcPr>
          <w:p>
            <w:pPr>
              <w:ind w:firstLine="0"/>
              <w:jc w:val="center"/>
            </w:pPr>
            <w:r>
              <w:t>2 490 368</w:t>
            </w:r>
          </w:p>
        </w:tc>
      </w:tr>
      <w:tr>
        <w:tc>
          <w:tcPr>
            <w:tcW w:w="555" w:type="dxa"/>
            <w:shd w:val="clear" w:color="auto" w:fill="auto"/>
            <w:noWrap/>
            <w:vAlign w:val="center"/>
          </w:tcPr>
          <w:p>
            <w:pPr>
              <w:ind w:firstLine="0"/>
              <w:jc w:val="center"/>
              <w:rPr>
                <w:szCs w:val="24"/>
                <w:lang w:eastAsia="ru-RU"/>
              </w:rPr>
            </w:pPr>
            <w:r>
              <w:rPr>
                <w:szCs w:val="24"/>
                <w:lang w:eastAsia="ru-RU"/>
              </w:rPr>
              <w:t>n04</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Нормальные, (200/30)</w:t>
            </w:r>
          </w:p>
        </w:tc>
        <w:tc>
          <w:tcPr>
            <w:tcW w:w="1256" w:type="dxa"/>
            <w:shd w:val="clear" w:color="auto" w:fill="auto"/>
            <w:noWrap/>
            <w:vAlign w:val="center"/>
          </w:tcPr>
          <w:p>
            <w:pPr>
              <w:ind w:firstLine="0"/>
              <w:jc w:val="center"/>
              <w:rPr>
                <w:rFonts w:eastAsia="Times New Roman"/>
                <w:color w:val="000000"/>
                <w:szCs w:val="24"/>
                <w:lang w:val="en-US" w:eastAsia="ru-RU"/>
              </w:rPr>
            </w:pPr>
            <w:r>
              <w:rPr>
                <w:rFonts w:eastAsia="Times New Roman"/>
                <w:color w:val="000000"/>
                <w:szCs w:val="24"/>
                <w:lang w:eastAsia="ru-RU"/>
              </w:rPr>
              <w:t>2,59×10</w:t>
            </w:r>
            <w:r>
              <w:rPr>
                <w:rFonts w:eastAsia="Times New Roman"/>
                <w:color w:val="000000"/>
                <w:szCs w:val="24"/>
                <w:vertAlign w:val="superscript"/>
                <w:lang w:eastAsia="ru-RU"/>
              </w:rPr>
              <w:t>-1</w:t>
            </w:r>
            <w:r>
              <w:rPr>
                <w:rFonts w:eastAsia="Times New Roman"/>
                <w:color w:val="000000"/>
                <w:szCs w:val="24"/>
                <w:vertAlign w:val="superscript"/>
                <w:lang w:val="en-US" w:eastAsia="ru-RU"/>
              </w:rPr>
              <w:t>3</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1 919</w:t>
            </w:r>
          </w:p>
        </w:tc>
        <w:tc>
          <w:tcPr>
            <w:tcW w:w="1392" w:type="dxa"/>
            <w:shd w:val="clear" w:color="auto" w:fill="auto"/>
            <w:noWrap/>
            <w:vAlign w:val="center"/>
          </w:tcPr>
          <w:p>
            <w:pPr>
              <w:ind w:firstLine="0"/>
              <w:jc w:val="center"/>
            </w:pPr>
            <w:r>
              <w:t>3 670 016</w:t>
            </w:r>
          </w:p>
        </w:tc>
      </w:tr>
      <w:tr>
        <w:tc>
          <w:tcPr>
            <w:tcW w:w="555" w:type="dxa"/>
            <w:shd w:val="clear" w:color="auto" w:fill="auto"/>
            <w:noWrap/>
            <w:vAlign w:val="center"/>
          </w:tcPr>
          <w:p>
            <w:pPr>
              <w:ind w:firstLine="0"/>
              <w:jc w:val="center"/>
              <w:rPr>
                <w:szCs w:val="24"/>
                <w:lang w:eastAsia="ru-RU"/>
              </w:rPr>
            </w:pPr>
            <w:r>
              <w:rPr>
                <w:szCs w:val="24"/>
                <w:lang w:eastAsia="ru-RU"/>
              </w:rPr>
              <w:t>n05</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Нормальные, (3/4)</w:t>
            </w:r>
          </w:p>
        </w:tc>
        <w:tc>
          <w:tcPr>
            <w:tcW w:w="1256"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1,21×10</w:t>
            </w:r>
            <w:r>
              <w:rPr>
                <w:rFonts w:eastAsia="Times New Roman"/>
                <w:color w:val="000000"/>
                <w:szCs w:val="24"/>
                <w:vertAlign w:val="superscript"/>
                <w:lang w:eastAsia="ru-RU"/>
              </w:rPr>
              <w:t>-14</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443</w:t>
            </w:r>
          </w:p>
        </w:tc>
        <w:tc>
          <w:tcPr>
            <w:tcW w:w="1392" w:type="dxa"/>
            <w:shd w:val="clear" w:color="auto" w:fill="auto"/>
            <w:noWrap/>
            <w:vAlign w:val="center"/>
          </w:tcPr>
          <w:p>
            <w:pPr>
              <w:ind w:firstLine="0"/>
              <w:jc w:val="center"/>
            </w:pPr>
            <w:r>
              <w:t>786 432</w:t>
            </w:r>
          </w:p>
        </w:tc>
      </w:tr>
      <w:tr>
        <w:tc>
          <w:tcPr>
            <w:tcW w:w="555" w:type="dxa"/>
            <w:shd w:val="clear" w:color="auto" w:fill="auto"/>
            <w:noWrap/>
            <w:vAlign w:val="center"/>
          </w:tcPr>
          <w:p>
            <w:pPr>
              <w:ind w:firstLine="0"/>
              <w:jc w:val="center"/>
              <w:rPr>
                <w:szCs w:val="24"/>
                <w:lang w:eastAsia="ru-RU"/>
              </w:rPr>
            </w:pPr>
            <w:r>
              <w:rPr>
                <w:szCs w:val="24"/>
                <w:lang w:eastAsia="ru-RU"/>
              </w:rPr>
              <w:t>n06</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Логнормальные (40/40)</w:t>
            </w:r>
          </w:p>
        </w:tc>
        <w:tc>
          <w:tcPr>
            <w:tcW w:w="1256"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8,3×10</w:t>
            </w:r>
            <w:r>
              <w:rPr>
                <w:rFonts w:eastAsia="Times New Roman"/>
                <w:color w:val="000000"/>
                <w:szCs w:val="24"/>
                <w:vertAlign w:val="superscript"/>
                <w:lang w:eastAsia="ru-RU"/>
              </w:rPr>
              <w:t>-14</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2 731</w:t>
            </w:r>
          </w:p>
        </w:tc>
        <w:tc>
          <w:tcPr>
            <w:tcW w:w="1392" w:type="dxa"/>
            <w:shd w:val="clear" w:color="auto" w:fill="auto"/>
            <w:noWrap/>
            <w:vAlign w:val="center"/>
          </w:tcPr>
          <w:p>
            <w:pPr>
              <w:ind w:firstLine="0"/>
              <w:jc w:val="center"/>
            </w:pPr>
            <w:r>
              <w:t>5 373 952</w:t>
            </w:r>
          </w:p>
        </w:tc>
      </w:tr>
      <w:tr>
        <w:tc>
          <w:tcPr>
            <w:tcW w:w="555" w:type="dxa"/>
            <w:shd w:val="clear" w:color="auto" w:fill="auto"/>
            <w:noWrap/>
            <w:vAlign w:val="center"/>
          </w:tcPr>
          <w:p>
            <w:pPr>
              <w:ind w:firstLine="0"/>
              <w:jc w:val="center"/>
              <w:rPr>
                <w:szCs w:val="24"/>
                <w:lang w:eastAsia="ru-RU"/>
              </w:rPr>
            </w:pPr>
            <w:r>
              <w:rPr>
                <w:szCs w:val="24"/>
                <w:lang w:eastAsia="ru-RU"/>
              </w:rPr>
              <w:t>n07</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 xml:space="preserve">Гамма, </w:t>
            </w:r>
            <m:oMath>
              <m:r>
                <w:rPr>
                  <w:rFonts w:ascii="Cambria Math" w:eastAsia="Times New Roman" w:hAnsi="Cambria Math"/>
                  <w:color w:val="000000"/>
                  <w:szCs w:val="24"/>
                  <w:lang w:val="en-US" w:eastAsia="ru-RU"/>
                </w:rPr>
                <m:t>k</m:t>
              </m:r>
            </m:oMath>
            <w:r>
              <w:rPr>
                <w:rFonts w:eastAsia="Times New Roman"/>
                <w:color w:val="000000"/>
                <w:szCs w:val="24"/>
                <w:lang w:eastAsia="ru-RU"/>
              </w:rPr>
              <w:t xml:space="preserve"> = 2 (40/40)</w:t>
            </w:r>
          </w:p>
        </w:tc>
        <w:tc>
          <w:tcPr>
            <w:tcW w:w="1256"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6,91×10</w:t>
            </w:r>
            <w:r>
              <w:rPr>
                <w:rFonts w:eastAsia="Times New Roman"/>
                <w:color w:val="000000"/>
                <w:szCs w:val="24"/>
                <w:vertAlign w:val="superscript"/>
                <w:lang w:eastAsia="ru-RU"/>
              </w:rPr>
              <w:t>-14</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3 026</w:t>
            </w:r>
          </w:p>
        </w:tc>
        <w:tc>
          <w:tcPr>
            <w:tcW w:w="1392" w:type="dxa"/>
            <w:shd w:val="clear" w:color="auto" w:fill="auto"/>
            <w:noWrap/>
            <w:vAlign w:val="center"/>
          </w:tcPr>
          <w:p>
            <w:pPr>
              <w:ind w:firstLine="0"/>
              <w:jc w:val="center"/>
            </w:pPr>
            <w:r>
              <w:t>5 373 952</w:t>
            </w:r>
          </w:p>
        </w:tc>
      </w:tr>
      <w:tr>
        <w:tc>
          <w:tcPr>
            <w:tcW w:w="555" w:type="dxa"/>
            <w:shd w:val="clear" w:color="auto" w:fill="auto"/>
            <w:noWrap/>
            <w:vAlign w:val="center"/>
          </w:tcPr>
          <w:p>
            <w:pPr>
              <w:ind w:firstLine="0"/>
              <w:jc w:val="center"/>
              <w:rPr>
                <w:szCs w:val="24"/>
                <w:lang w:eastAsia="ru-RU"/>
              </w:rPr>
            </w:pPr>
            <w:r>
              <w:rPr>
                <w:szCs w:val="24"/>
                <w:lang w:eastAsia="ru-RU"/>
              </w:rPr>
              <w:t>n08</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Экспоненциальные (50/50)</w:t>
            </w:r>
          </w:p>
        </w:tc>
        <w:tc>
          <w:tcPr>
            <w:tcW w:w="1256"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4,80×10</w:t>
            </w:r>
            <w:r>
              <w:rPr>
                <w:rFonts w:eastAsia="Times New Roman"/>
                <w:color w:val="000000"/>
                <w:szCs w:val="24"/>
                <w:vertAlign w:val="superscript"/>
                <w:lang w:eastAsia="ru-RU"/>
              </w:rPr>
              <w:t>-14</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3 173</w:t>
            </w:r>
          </w:p>
        </w:tc>
        <w:tc>
          <w:tcPr>
            <w:tcW w:w="1392" w:type="dxa"/>
            <w:shd w:val="clear" w:color="auto" w:fill="auto"/>
            <w:noWrap/>
            <w:vAlign w:val="center"/>
          </w:tcPr>
          <w:p>
            <w:pPr>
              <w:ind w:firstLine="0"/>
              <w:jc w:val="center"/>
            </w:pPr>
            <w:r>
              <w:t>6 422 528</w:t>
            </w:r>
          </w:p>
        </w:tc>
      </w:tr>
      <w:tr>
        <w:tc>
          <w:tcPr>
            <w:tcW w:w="555" w:type="dxa"/>
            <w:shd w:val="clear" w:color="auto" w:fill="auto"/>
            <w:noWrap/>
            <w:vAlign w:val="center"/>
          </w:tcPr>
          <w:p>
            <w:pPr>
              <w:ind w:firstLine="0"/>
              <w:jc w:val="center"/>
              <w:rPr>
                <w:szCs w:val="24"/>
                <w:lang w:eastAsia="ru-RU"/>
              </w:rPr>
            </w:pPr>
            <w:r>
              <w:rPr>
                <w:szCs w:val="24"/>
                <w:lang w:eastAsia="ru-RU"/>
              </w:rPr>
              <w:t>n09</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Равномерные (35/35)</w:t>
            </w:r>
          </w:p>
        </w:tc>
        <w:tc>
          <w:tcPr>
            <w:tcW w:w="1256"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8,02×10</w:t>
            </w:r>
            <w:r>
              <w:rPr>
                <w:rFonts w:eastAsia="Times New Roman"/>
                <w:color w:val="000000"/>
                <w:szCs w:val="24"/>
                <w:vertAlign w:val="superscript"/>
                <w:lang w:eastAsia="ru-RU"/>
              </w:rPr>
              <w:t>-14</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2 435</w:t>
            </w:r>
          </w:p>
        </w:tc>
        <w:tc>
          <w:tcPr>
            <w:tcW w:w="1392" w:type="dxa"/>
            <w:shd w:val="clear" w:color="auto" w:fill="auto"/>
            <w:noWrap/>
            <w:vAlign w:val="center"/>
          </w:tcPr>
          <w:p>
            <w:pPr>
              <w:ind w:firstLine="0"/>
              <w:jc w:val="center"/>
            </w:pPr>
            <w:r>
              <w:t>4 849 664</w:t>
            </w:r>
          </w:p>
        </w:tc>
      </w:tr>
      <w:tr>
        <w:tc>
          <w:tcPr>
            <w:tcW w:w="555" w:type="dxa"/>
            <w:shd w:val="clear" w:color="auto" w:fill="auto"/>
            <w:noWrap/>
            <w:vAlign w:val="center"/>
          </w:tcPr>
          <w:p>
            <w:pPr>
              <w:ind w:firstLine="0"/>
              <w:jc w:val="center"/>
              <w:rPr>
                <w:szCs w:val="24"/>
                <w:lang w:eastAsia="ru-RU"/>
              </w:rPr>
            </w:pPr>
            <w:r>
              <w:rPr>
                <w:szCs w:val="24"/>
                <w:lang w:eastAsia="ru-RU"/>
              </w:rPr>
              <w:t>n10</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t</w:t>
            </w:r>
            <w:r>
              <w:rPr>
                <w:rFonts w:eastAsia="Times New Roman"/>
                <w:color w:val="000000"/>
                <w:szCs w:val="24"/>
                <w:vertAlign w:val="subscript"/>
                <w:lang w:val="en-US" w:eastAsia="ru-RU"/>
              </w:rPr>
              <w:t>3</w:t>
            </w:r>
            <w:r>
              <w:rPr>
                <w:rFonts w:eastAsia="Times New Roman"/>
                <w:color w:val="000000"/>
                <w:szCs w:val="24"/>
                <w:lang w:eastAsia="ru-RU"/>
              </w:rPr>
              <w:t>, тяжёлый хвост (45/45)</w:t>
            </w:r>
          </w:p>
        </w:tc>
        <w:tc>
          <w:tcPr>
            <w:tcW w:w="1256"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8,13×10</w:t>
            </w:r>
            <w:r>
              <w:rPr>
                <w:rFonts w:eastAsia="Times New Roman"/>
                <w:color w:val="000000"/>
                <w:szCs w:val="24"/>
                <w:vertAlign w:val="superscript"/>
                <w:lang w:eastAsia="ru-RU"/>
              </w:rPr>
              <w:t>-14</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3 173</w:t>
            </w:r>
          </w:p>
        </w:tc>
        <w:tc>
          <w:tcPr>
            <w:tcW w:w="1392" w:type="dxa"/>
            <w:shd w:val="clear" w:color="auto" w:fill="auto"/>
            <w:noWrap/>
            <w:vAlign w:val="center"/>
          </w:tcPr>
          <w:p>
            <w:pPr>
              <w:ind w:firstLine="0"/>
              <w:jc w:val="center"/>
            </w:pPr>
            <w:r>
              <w:t>5 373 952</w:t>
            </w:r>
          </w:p>
        </w:tc>
      </w:tr>
      <w:tr>
        <w:tc>
          <w:tcPr>
            <w:tcW w:w="555" w:type="dxa"/>
            <w:shd w:val="clear" w:color="auto" w:fill="auto"/>
            <w:noWrap/>
            <w:vAlign w:val="center"/>
          </w:tcPr>
          <w:p>
            <w:pPr>
              <w:ind w:firstLine="0"/>
              <w:jc w:val="center"/>
              <w:rPr>
                <w:szCs w:val="24"/>
                <w:lang w:eastAsia="ru-RU"/>
              </w:rPr>
            </w:pPr>
            <w:r>
              <w:rPr>
                <w:szCs w:val="24"/>
                <w:lang w:eastAsia="ru-RU"/>
              </w:rPr>
              <w:t>n11</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Бимодальные (40/40)</w:t>
            </w:r>
          </w:p>
        </w:tc>
        <w:tc>
          <w:tcPr>
            <w:tcW w:w="1256"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5,06×10</w:t>
            </w:r>
            <w:r>
              <w:rPr>
                <w:rFonts w:eastAsia="Times New Roman"/>
                <w:color w:val="000000"/>
                <w:szCs w:val="24"/>
                <w:vertAlign w:val="superscript"/>
                <w:lang w:eastAsia="ru-RU"/>
              </w:rPr>
              <w:t>-14</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3 026</w:t>
            </w:r>
          </w:p>
        </w:tc>
        <w:tc>
          <w:tcPr>
            <w:tcW w:w="1392" w:type="dxa"/>
            <w:shd w:val="clear" w:color="auto" w:fill="auto"/>
            <w:noWrap/>
            <w:vAlign w:val="center"/>
          </w:tcPr>
          <w:p>
            <w:pPr>
              <w:ind w:firstLine="0"/>
              <w:jc w:val="center"/>
            </w:pPr>
            <w:r>
              <w:t>5 373 952</w:t>
            </w:r>
          </w:p>
        </w:tc>
      </w:tr>
      <w:tr>
        <w:tc>
          <w:tcPr>
            <w:tcW w:w="555" w:type="dxa"/>
            <w:shd w:val="clear" w:color="auto" w:fill="auto"/>
            <w:noWrap/>
            <w:vAlign w:val="center"/>
          </w:tcPr>
          <w:p>
            <w:pPr>
              <w:ind w:firstLine="0"/>
              <w:jc w:val="center"/>
              <w:rPr>
                <w:szCs w:val="24"/>
                <w:lang w:eastAsia="ru-RU"/>
              </w:rPr>
            </w:pPr>
            <w:r>
              <w:rPr>
                <w:szCs w:val="24"/>
                <w:lang w:eastAsia="ru-RU"/>
              </w:rPr>
              <w:t>n12</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Дискретные 1:5 (50/50)</w:t>
            </w:r>
          </w:p>
        </w:tc>
        <w:tc>
          <w:tcPr>
            <w:tcW w:w="1256" w:type="dxa"/>
            <w:shd w:val="clear" w:color="auto" w:fill="auto"/>
            <w:noWrap/>
            <w:vAlign w:val="center"/>
          </w:tcPr>
          <w:p>
            <w:pPr>
              <w:ind w:firstLine="0"/>
              <w:jc w:val="center"/>
              <w:rPr>
                <w:rFonts w:eastAsia="Times New Roman"/>
                <w:color w:val="000000"/>
                <w:szCs w:val="24"/>
                <w:lang w:val="en-US" w:eastAsia="ru-RU"/>
              </w:rPr>
            </w:pPr>
            <w:r>
              <w:rPr>
                <w:rFonts w:eastAsia="Times New Roman"/>
                <w:color w:val="000000"/>
                <w:szCs w:val="24"/>
                <w:lang w:eastAsia="ru-RU"/>
              </w:rPr>
              <w:t>8,34×10</w:t>
            </w:r>
            <w:r>
              <w:rPr>
                <w:rFonts w:eastAsia="Times New Roman"/>
                <w:color w:val="000000"/>
                <w:szCs w:val="24"/>
                <w:vertAlign w:val="superscript"/>
                <w:lang w:eastAsia="ru-RU"/>
              </w:rPr>
              <w:t>-1</w:t>
            </w:r>
            <w:r>
              <w:rPr>
                <w:rFonts w:eastAsia="Times New Roman"/>
                <w:color w:val="000000"/>
                <w:szCs w:val="24"/>
                <w:vertAlign w:val="superscript"/>
                <w:lang w:val="en-US" w:eastAsia="ru-RU"/>
              </w:rPr>
              <w:t>5</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3 026</w:t>
            </w:r>
          </w:p>
        </w:tc>
        <w:tc>
          <w:tcPr>
            <w:tcW w:w="1392" w:type="dxa"/>
            <w:shd w:val="clear" w:color="auto" w:fill="auto"/>
            <w:noWrap/>
            <w:vAlign w:val="center"/>
          </w:tcPr>
          <w:p>
            <w:pPr>
              <w:ind w:firstLine="0"/>
              <w:jc w:val="center"/>
            </w:pPr>
            <w:r>
              <w:t>5 373 952</w:t>
            </w:r>
          </w:p>
        </w:tc>
      </w:tr>
      <w:tr>
        <w:tc>
          <w:tcPr>
            <w:tcW w:w="555" w:type="dxa"/>
            <w:shd w:val="clear" w:color="auto" w:fill="auto"/>
            <w:noWrap/>
            <w:vAlign w:val="center"/>
          </w:tcPr>
          <w:p>
            <w:pPr>
              <w:ind w:firstLine="0"/>
              <w:jc w:val="center"/>
              <w:rPr>
                <w:szCs w:val="24"/>
                <w:lang w:eastAsia="ru-RU"/>
              </w:rPr>
            </w:pPr>
            <w:r>
              <w:rPr>
                <w:szCs w:val="24"/>
                <w:lang w:eastAsia="ru-RU"/>
              </w:rPr>
              <w:t>n13</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Нормальные (1000/1000)</w:t>
            </w:r>
          </w:p>
        </w:tc>
        <w:tc>
          <w:tcPr>
            <w:tcW w:w="1256"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1,82×10</w:t>
            </w:r>
            <w:r>
              <w:rPr>
                <w:rFonts w:eastAsia="Times New Roman"/>
                <w:color w:val="000000"/>
                <w:szCs w:val="24"/>
                <w:vertAlign w:val="superscript"/>
                <w:lang w:eastAsia="ru-RU"/>
              </w:rPr>
              <w:t>-12</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13 948</w:t>
            </w:r>
          </w:p>
        </w:tc>
        <w:tc>
          <w:tcPr>
            <w:tcW w:w="1392" w:type="dxa"/>
            <w:shd w:val="clear" w:color="auto" w:fill="auto"/>
            <w:noWrap/>
            <w:vAlign w:val="center"/>
          </w:tcPr>
          <w:p>
            <w:pPr>
              <w:ind w:firstLine="0"/>
              <w:jc w:val="center"/>
              <w:rPr>
                <w:spacing w:val="-8"/>
              </w:rPr>
            </w:pPr>
            <w:r>
              <w:rPr>
                <w:spacing w:val="-8"/>
              </w:rPr>
              <w:t>26 607 616</w:t>
            </w:r>
          </w:p>
        </w:tc>
      </w:tr>
      <w:tr>
        <w:tc>
          <w:tcPr>
            <w:tcW w:w="555" w:type="dxa"/>
            <w:shd w:val="clear" w:color="auto" w:fill="auto"/>
            <w:noWrap/>
            <w:vAlign w:val="center"/>
          </w:tcPr>
          <w:p>
            <w:pPr>
              <w:ind w:firstLine="0"/>
              <w:jc w:val="center"/>
              <w:rPr>
                <w:szCs w:val="24"/>
                <w:lang w:eastAsia="ru-RU"/>
              </w:rPr>
            </w:pPr>
            <w:r>
              <w:rPr>
                <w:szCs w:val="24"/>
                <w:lang w:eastAsia="ru-RU"/>
              </w:rPr>
              <w:t>n14</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Граничный случай (11/12)</w:t>
            </w:r>
          </w:p>
        </w:tc>
        <w:tc>
          <w:tcPr>
            <w:tcW w:w="1256"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1,18×10</w:t>
            </w:r>
            <w:r>
              <w:rPr>
                <w:rFonts w:eastAsia="Times New Roman"/>
                <w:color w:val="000000"/>
                <w:szCs w:val="24"/>
                <w:vertAlign w:val="superscript"/>
                <w:lang w:eastAsia="ru-RU"/>
              </w:rPr>
              <w:t>-14</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517</w:t>
            </w:r>
          </w:p>
        </w:tc>
        <w:tc>
          <w:tcPr>
            <w:tcW w:w="1392" w:type="dxa"/>
            <w:shd w:val="clear" w:color="auto" w:fill="auto"/>
            <w:noWrap/>
            <w:vAlign w:val="center"/>
          </w:tcPr>
          <w:p>
            <w:pPr>
              <w:ind w:firstLine="0"/>
              <w:jc w:val="center"/>
            </w:pPr>
            <w:r>
              <w:t>917 504</w:t>
            </w:r>
          </w:p>
        </w:tc>
      </w:tr>
      <w:tr>
        <w:tc>
          <w:tcPr>
            <w:tcW w:w="555" w:type="dxa"/>
            <w:shd w:val="clear" w:color="auto" w:fill="auto"/>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n16</w:t>
            </w:r>
          </w:p>
        </w:tc>
        <w:tc>
          <w:tcPr>
            <w:tcW w:w="5130" w:type="dxa"/>
            <w:shd w:val="clear" w:color="auto" w:fill="auto"/>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t</w:t>
            </w:r>
            <w:r>
              <w:rPr>
                <w:rFonts w:eastAsia="Times New Roman"/>
                <w:color w:val="000000"/>
                <w:szCs w:val="24"/>
                <w:vertAlign w:val="subscript"/>
                <w:lang w:val="en-US" w:eastAsia="ru-RU"/>
              </w:rPr>
              <w:t>2</w:t>
            </w:r>
            <w:r>
              <w:rPr>
                <w:rFonts w:eastAsia="Times New Roman"/>
                <w:color w:val="000000"/>
                <w:szCs w:val="24"/>
                <w:lang w:eastAsia="ru-RU"/>
              </w:rPr>
              <w:t>, n = 3/3</w:t>
            </w:r>
          </w:p>
        </w:tc>
        <w:tc>
          <w:tcPr>
            <w:tcW w:w="1256" w:type="dxa"/>
            <w:shd w:val="clear" w:color="auto" w:fill="auto"/>
            <w:noWrap/>
            <w:vAlign w:val="center"/>
            <w:hideMark/>
          </w:tcPr>
          <w:p>
            <w:pPr>
              <w:ind w:firstLine="0"/>
              <w:jc w:val="center"/>
              <w:rPr>
                <w:rFonts w:eastAsia="Times New Roman"/>
                <w:color w:val="000000"/>
                <w:szCs w:val="24"/>
                <w:lang w:val="en-US" w:eastAsia="ru-RU"/>
              </w:rPr>
            </w:pPr>
            <w:r>
              <w:rPr>
                <w:rFonts w:eastAsia="Times New Roman"/>
                <w:color w:val="000000"/>
                <w:szCs w:val="24"/>
                <w:lang w:eastAsia="ru-RU"/>
              </w:rPr>
              <w:t>5,60×10</w:t>
            </w:r>
            <w:r>
              <w:rPr>
                <w:rFonts w:eastAsia="Times New Roman"/>
                <w:color w:val="000000"/>
                <w:szCs w:val="24"/>
                <w:vertAlign w:val="superscript"/>
                <w:lang w:eastAsia="ru-RU"/>
              </w:rPr>
              <w:t>-1</w:t>
            </w:r>
            <w:r>
              <w:rPr>
                <w:rFonts w:eastAsia="Times New Roman"/>
                <w:color w:val="000000"/>
                <w:szCs w:val="24"/>
                <w:vertAlign w:val="superscript"/>
                <w:lang w:val="en-US" w:eastAsia="ru-RU"/>
              </w:rPr>
              <w:t>5</w:t>
            </w:r>
          </w:p>
        </w:tc>
        <w:tc>
          <w:tcPr>
            <w:tcW w:w="1012" w:type="dxa"/>
            <w:shd w:val="clear" w:color="auto" w:fill="auto"/>
            <w:noWrap/>
            <w:vAlign w:val="center"/>
            <w:hideMark/>
          </w:tcPr>
          <w:p>
            <w:pPr>
              <w:ind w:firstLine="0"/>
              <w:jc w:val="center"/>
              <w:rPr>
                <w:rFonts w:eastAsia="Times New Roman"/>
                <w:color w:val="000000"/>
                <w:szCs w:val="24"/>
                <w:lang w:eastAsia="ru-RU"/>
              </w:rPr>
            </w:pPr>
            <w:r>
              <w:rPr>
                <w:rFonts w:eastAsia="Times New Roman"/>
                <w:color w:val="000000"/>
                <w:szCs w:val="24"/>
                <w:lang w:eastAsia="ru-RU"/>
              </w:rPr>
              <w:t>368</w:t>
            </w:r>
          </w:p>
        </w:tc>
        <w:tc>
          <w:tcPr>
            <w:tcW w:w="1392" w:type="dxa"/>
            <w:shd w:val="clear" w:color="auto" w:fill="auto"/>
            <w:noWrap/>
            <w:vAlign w:val="center"/>
            <w:hideMark/>
          </w:tcPr>
          <w:p>
            <w:pPr>
              <w:ind w:firstLine="0"/>
              <w:jc w:val="center"/>
            </w:pPr>
            <w:r>
              <w:t>655 360</w:t>
            </w:r>
          </w:p>
        </w:tc>
      </w:tr>
      <w:tr>
        <w:tc>
          <w:tcPr>
            <w:tcW w:w="555" w:type="dxa"/>
            <w:shd w:val="clear" w:color="auto" w:fill="auto"/>
            <w:noWrap/>
            <w:vAlign w:val="center"/>
          </w:tcPr>
          <w:p>
            <w:pPr>
              <w:ind w:firstLine="0"/>
              <w:jc w:val="center"/>
              <w:rPr>
                <w:szCs w:val="24"/>
                <w:lang w:eastAsia="ru-RU"/>
              </w:rPr>
            </w:pPr>
            <w:r>
              <w:rPr>
                <w:szCs w:val="24"/>
                <w:lang w:eastAsia="ru-RU"/>
              </w:rPr>
              <w:t>n17</w:t>
            </w:r>
          </w:p>
        </w:tc>
        <w:tc>
          <w:tcPr>
            <w:tcW w:w="5130" w:type="dxa"/>
            <w:shd w:val="clear" w:color="auto" w:fill="auto"/>
            <w:noWrap/>
            <w:vAlign w:val="center"/>
          </w:tcPr>
          <w:p>
            <w:pPr>
              <w:ind w:firstLine="0"/>
              <w:jc w:val="center"/>
              <w:rPr>
                <w:rFonts w:eastAsia="Times New Roman"/>
                <w:color w:val="000000"/>
                <w:szCs w:val="24"/>
                <w:lang w:eastAsia="ru-RU"/>
              </w:rPr>
            </w:pPr>
            <w:proofErr w:type="spellStart"/>
            <w:r>
              <w:rPr>
                <w:rFonts w:eastAsia="Times New Roman"/>
                <w:color w:val="000000"/>
                <w:szCs w:val="24"/>
                <w:lang w:eastAsia="ru-RU"/>
              </w:rPr>
              <w:t>Полунормальные</w:t>
            </w:r>
            <w:proofErr w:type="spellEnd"/>
            <w:r>
              <w:rPr>
                <w:rFonts w:eastAsia="Times New Roman"/>
                <w:color w:val="000000"/>
                <w:szCs w:val="24"/>
                <w:lang w:eastAsia="ru-RU"/>
              </w:rPr>
              <w:t xml:space="preserve"> (38/38)</w:t>
            </w:r>
          </w:p>
        </w:tc>
        <w:tc>
          <w:tcPr>
            <w:tcW w:w="1256"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8,65×10</w:t>
            </w:r>
            <w:r>
              <w:rPr>
                <w:rFonts w:eastAsia="Times New Roman"/>
                <w:color w:val="000000"/>
                <w:szCs w:val="24"/>
                <w:vertAlign w:val="superscript"/>
                <w:lang w:eastAsia="ru-RU"/>
              </w:rPr>
              <w:t>-14</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3 026</w:t>
            </w:r>
          </w:p>
        </w:tc>
        <w:tc>
          <w:tcPr>
            <w:tcW w:w="1392" w:type="dxa"/>
            <w:shd w:val="clear" w:color="auto" w:fill="auto"/>
            <w:noWrap/>
            <w:vAlign w:val="center"/>
          </w:tcPr>
          <w:p>
            <w:pPr>
              <w:ind w:firstLine="0"/>
              <w:jc w:val="center"/>
            </w:pPr>
            <w:r>
              <w:t>5 373 952</w:t>
            </w:r>
          </w:p>
        </w:tc>
      </w:tr>
      <w:tr>
        <w:tc>
          <w:tcPr>
            <w:tcW w:w="555" w:type="dxa"/>
            <w:shd w:val="clear" w:color="auto" w:fill="auto"/>
            <w:noWrap/>
            <w:vAlign w:val="center"/>
          </w:tcPr>
          <w:p>
            <w:pPr>
              <w:ind w:firstLine="0"/>
              <w:jc w:val="center"/>
              <w:rPr>
                <w:szCs w:val="24"/>
                <w:lang w:eastAsia="ru-RU"/>
              </w:rPr>
            </w:pPr>
            <w:r>
              <w:rPr>
                <w:szCs w:val="24"/>
                <w:lang w:eastAsia="ru-RU"/>
              </w:rPr>
              <w:t>n18</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Пуассона (60/60)</w:t>
            </w:r>
          </w:p>
        </w:tc>
        <w:tc>
          <w:tcPr>
            <w:tcW w:w="1256" w:type="dxa"/>
            <w:shd w:val="clear" w:color="auto" w:fill="auto"/>
            <w:noWrap/>
            <w:vAlign w:val="center"/>
          </w:tcPr>
          <w:p>
            <w:pPr>
              <w:ind w:firstLine="0"/>
              <w:jc w:val="center"/>
              <w:rPr>
                <w:rFonts w:eastAsia="Times New Roman"/>
                <w:color w:val="000000"/>
                <w:szCs w:val="24"/>
                <w:lang w:val="en-US" w:eastAsia="ru-RU"/>
              </w:rPr>
            </w:pPr>
            <w:r>
              <w:rPr>
                <w:rFonts w:eastAsia="Times New Roman"/>
                <w:color w:val="000000"/>
                <w:szCs w:val="24"/>
                <w:lang w:eastAsia="ru-RU"/>
              </w:rPr>
              <w:t>1,77×10</w:t>
            </w:r>
            <w:r>
              <w:rPr>
                <w:rFonts w:eastAsia="Times New Roman"/>
                <w:color w:val="000000"/>
                <w:szCs w:val="24"/>
                <w:vertAlign w:val="superscript"/>
                <w:lang w:eastAsia="ru-RU"/>
              </w:rPr>
              <w:t>-1</w:t>
            </w:r>
            <w:r>
              <w:rPr>
                <w:rFonts w:eastAsia="Times New Roman"/>
                <w:color w:val="000000"/>
                <w:szCs w:val="24"/>
                <w:vertAlign w:val="superscript"/>
                <w:lang w:val="en-US" w:eastAsia="ru-RU"/>
              </w:rPr>
              <w:t>3</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3 616</w:t>
            </w:r>
          </w:p>
        </w:tc>
        <w:tc>
          <w:tcPr>
            <w:tcW w:w="1392" w:type="dxa"/>
            <w:shd w:val="clear" w:color="auto" w:fill="auto"/>
            <w:noWrap/>
            <w:vAlign w:val="center"/>
          </w:tcPr>
          <w:p>
            <w:pPr>
              <w:ind w:firstLine="0"/>
              <w:jc w:val="center"/>
            </w:pPr>
            <w:r>
              <w:t>6 422 528</w:t>
            </w:r>
          </w:p>
        </w:tc>
      </w:tr>
      <w:tr>
        <w:tc>
          <w:tcPr>
            <w:tcW w:w="555" w:type="dxa"/>
            <w:shd w:val="clear" w:color="auto" w:fill="auto"/>
            <w:noWrap/>
            <w:vAlign w:val="center"/>
          </w:tcPr>
          <w:p>
            <w:pPr>
              <w:ind w:firstLine="0"/>
              <w:jc w:val="center"/>
              <w:rPr>
                <w:szCs w:val="24"/>
                <w:lang w:eastAsia="ru-RU"/>
              </w:rPr>
            </w:pPr>
            <w:r>
              <w:rPr>
                <w:szCs w:val="24"/>
                <w:lang w:eastAsia="ru-RU"/>
              </w:rPr>
              <w:t>n19</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Равные средние, разные СКО (25/25)</w:t>
            </w:r>
          </w:p>
        </w:tc>
        <w:tc>
          <w:tcPr>
            <w:tcW w:w="1256"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1,77×10</w:t>
            </w:r>
            <w:r>
              <w:rPr>
                <w:rFonts w:eastAsia="Times New Roman"/>
                <w:color w:val="000000"/>
                <w:szCs w:val="24"/>
                <w:vertAlign w:val="superscript"/>
                <w:lang w:eastAsia="ru-RU"/>
              </w:rPr>
              <w:t>-14</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812</w:t>
            </w:r>
          </w:p>
        </w:tc>
        <w:tc>
          <w:tcPr>
            <w:tcW w:w="1392" w:type="dxa"/>
            <w:shd w:val="clear" w:color="auto" w:fill="auto"/>
            <w:noWrap/>
            <w:vAlign w:val="center"/>
          </w:tcPr>
          <w:p>
            <w:pPr>
              <w:ind w:firstLine="0"/>
              <w:jc w:val="center"/>
            </w:pPr>
            <w:r>
              <w:t>1 441 792</w:t>
            </w:r>
          </w:p>
        </w:tc>
      </w:tr>
      <w:tr>
        <w:tc>
          <w:tcPr>
            <w:tcW w:w="555" w:type="dxa"/>
            <w:shd w:val="clear" w:color="auto" w:fill="auto"/>
            <w:noWrap/>
            <w:vAlign w:val="center"/>
          </w:tcPr>
          <w:p>
            <w:pPr>
              <w:ind w:firstLine="0"/>
              <w:jc w:val="center"/>
              <w:rPr>
                <w:szCs w:val="24"/>
                <w:lang w:eastAsia="ru-RU"/>
              </w:rPr>
            </w:pPr>
            <w:r>
              <w:rPr>
                <w:szCs w:val="24"/>
                <w:lang w:eastAsia="ru-RU"/>
              </w:rPr>
              <w:t>n20</w:t>
            </w:r>
          </w:p>
        </w:tc>
        <w:tc>
          <w:tcPr>
            <w:tcW w:w="5130"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Разные средние (32/32)</w:t>
            </w:r>
          </w:p>
        </w:tc>
        <w:tc>
          <w:tcPr>
            <w:tcW w:w="1256"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3,06×10</w:t>
            </w:r>
            <w:r>
              <w:rPr>
                <w:rFonts w:eastAsia="Times New Roman"/>
                <w:color w:val="000000"/>
                <w:szCs w:val="24"/>
                <w:vertAlign w:val="superscript"/>
                <w:lang w:eastAsia="ru-RU"/>
              </w:rPr>
              <w:t>-14</w:t>
            </w:r>
          </w:p>
        </w:tc>
        <w:tc>
          <w:tcPr>
            <w:tcW w:w="1012" w:type="dxa"/>
            <w:shd w:val="clear" w:color="auto" w:fill="auto"/>
            <w:noWrap/>
            <w:vAlign w:val="center"/>
          </w:tcPr>
          <w:p>
            <w:pPr>
              <w:ind w:firstLine="0"/>
              <w:jc w:val="center"/>
              <w:rPr>
                <w:rFonts w:eastAsia="Times New Roman"/>
                <w:color w:val="000000"/>
                <w:szCs w:val="24"/>
                <w:lang w:eastAsia="ru-RU"/>
              </w:rPr>
            </w:pPr>
            <w:r>
              <w:rPr>
                <w:rFonts w:eastAsia="Times New Roman"/>
                <w:color w:val="000000"/>
                <w:szCs w:val="24"/>
                <w:lang w:eastAsia="ru-RU"/>
              </w:rPr>
              <w:t>812</w:t>
            </w:r>
          </w:p>
        </w:tc>
        <w:tc>
          <w:tcPr>
            <w:tcW w:w="1392" w:type="dxa"/>
            <w:shd w:val="clear" w:color="auto" w:fill="auto"/>
            <w:noWrap/>
            <w:vAlign w:val="center"/>
          </w:tcPr>
          <w:p>
            <w:pPr>
              <w:ind w:firstLine="0"/>
              <w:jc w:val="center"/>
            </w:pPr>
            <w:r>
              <w:t>1 441 792</w:t>
            </w:r>
          </w:p>
        </w:tc>
      </w:tr>
    </w:tbl>
    <w:p>
      <w:pPr>
        <w:spacing w:before="100" w:beforeAutospacing="1"/>
      </w:pPr>
      <w:r>
        <w:t xml:space="preserve">Несмотря на значительную вычислительную сложность процесса генерации, необходимо отметить, что верификация полученного доказательства агрегатором </w:t>
      </w:r>
      <w:r>
        <w:lastRenderedPageBreak/>
        <w:t xml:space="preserve">происходит за </w:t>
      </w:r>
      <w:proofErr w:type="spellStart"/>
      <w:r>
        <w:t>полилогарифмическое</w:t>
      </w:r>
      <w:proofErr w:type="spellEnd"/>
      <w:r>
        <w:t xml:space="preserve"> время (миллисекунды) и не требует значительных ресурсов. В контексте многоцентровых клинических исследований, где процессы сбора и консолидации данных обычно занимают недели и месяцы, разовые вычислительные затраты в несколько часов для получения математически неоспоримого и точного результата являются оправданными. Предложенный подход позволяет заменить длительные и дорогостоящие процедуры аудита информационной безопасности и правового согласования трансграничной передачи данных автоматизированным криптографическим протоколом.</w:t>
      </w:r>
    </w:p>
    <w:p>
      <w:pPr>
        <w:pStyle w:val="1"/>
      </w:pPr>
      <w:r>
        <w:t>Обсуждение</w:t>
      </w:r>
    </w:p>
    <w:p>
      <w:r>
        <w:t xml:space="preserve">Настоящая работа представляет практическую реализацию криптографического протокола на базе </w:t>
      </w:r>
      <w:proofErr w:type="spellStart"/>
      <w:r>
        <w:t>zk</w:t>
      </w:r>
      <w:proofErr w:type="spellEnd"/>
      <w:r>
        <w:t>-STARK для решения задач анализа данных в клинической лабораторной диагностике. Основная ценность подхода заключается в создании «доверительной среды» (</w:t>
      </w:r>
      <w:proofErr w:type="spellStart"/>
      <w:r>
        <w:t>Trustless</w:t>
      </w:r>
      <w:proofErr w:type="spellEnd"/>
      <w:r>
        <w:t xml:space="preserve"> Environment), где агрегатор получает математически неоспоримые гарантии достоверности результатов, не имея при этом доступа к персональным данным пациентов. Это предлагает реальную альтернативу централизованным репозиториям данных, снижая риски утечек и упрощая международную научную кооперацию.</w:t>
      </w:r>
    </w:p>
    <w:p>
      <w:r>
        <w:t>С точки зрения правового регулирования (99-З, 152-ФЗ, GDPR), разработанная архитектура реализует принцип «проектируемой конфиденциальности» (</w:t>
      </w:r>
      <w:proofErr w:type="spellStart"/>
      <w:r>
        <w:t>Privacy</w:t>
      </w:r>
      <w:proofErr w:type="spellEnd"/>
      <w:r>
        <w:t xml:space="preserve"> </w:t>
      </w:r>
      <w:proofErr w:type="spellStart"/>
      <w:r>
        <w:t>by</w:t>
      </w:r>
      <w:proofErr w:type="spellEnd"/>
      <w:r>
        <w:t xml:space="preserve"> Design). Поскольку за пределы лаборатории выходят только статистические агрегаты, не являющиеся персональными данными, протокол позволяет легально включать медицинские центры из любых юрисдикций в международные регистры, что минимизирует административные издержки на получение этических одобрений и разрешений на экспорт биоматериалов или данных.</w:t>
      </w:r>
    </w:p>
    <w:p>
      <w:r>
        <w:t xml:space="preserve">Несмотря на успешную валидацию, текущая реализация протокола имеет ряд ограничений, требующих дальнейшей проработки. Прежде всего, использование </w:t>
      </w:r>
      <w:proofErr w:type="spellStart"/>
      <w:r>
        <w:t>квартильно</w:t>
      </w:r>
      <w:proofErr w:type="spellEnd"/>
      <w:r>
        <w:t xml:space="preserve">-взвешенного среднего выборочных медиан в качестве порога для теста Муда (веса – произведения объемов групп на их </w:t>
      </w:r>
      <w:proofErr w:type="spellStart"/>
      <w:r>
        <w:t>квартильные</w:t>
      </w:r>
      <w:proofErr w:type="spellEnd"/>
      <w:r>
        <w:t xml:space="preserve"> плотности) представляет собой эвристическую аппроксимацию истинной объединенной медианы. Хотя в рамках проведенного исследования данный подход не привел к искажению итоговых статистических выводов, повышение точности в будущем может быть достигнуто за счет внедрения специализированных ZK-дружественных алгоритмов ранжирования или использования методов защищенных многосторонних вычислений (MPC) для нахождения истинной объединенной медианы без раскрытия индивидуальных значений.</w:t>
      </w:r>
    </w:p>
    <w:p>
      <w:r>
        <w:t>Наряду с методологическими особенностями, существенным вызовом остается проблема масштабируемости, так как время генерации STARK-доказательств значительно возрастает при увеличении объема выборки. Для эффективной обработки массивов данных, превышающих 1000 наблюдений, целесообразно рассмотреть применение рекурсивных доказательств или переход к асимптотическим приближениям непараметрических тестов, требующим меньшего количества циклов процессора.</w:t>
      </w:r>
    </w:p>
    <w:p>
      <w:r>
        <w:t xml:space="preserve">Кроме того, внедрение протокола в реальную клиническую практику ограничено текущими технологическими барьерами, а именно зависимостью среды исполнения от WSL2 и специализированного инструментария </w:t>
      </w:r>
      <w:proofErr w:type="spellStart"/>
      <w:r>
        <w:t>Rust</w:t>
      </w:r>
      <w:proofErr w:type="spellEnd"/>
      <w:r>
        <w:t>, что осложняет прямую интеграцию решения в существующие лабораторные информационные системы (LIS). В этой связи приоритетным направлением развития является разработка нативных библиотек для операционных систем семейства Windows и создание интуитивно понятных графических интерфейсов, адаптированных для работы врачей-исследователей.</w:t>
      </w:r>
    </w:p>
    <w:p>
      <w:r>
        <w:t xml:space="preserve">В отличие от методов гомоморфного шифрования, которые остаются крайне ресурсоемкими для сложных статистических функций, и протоколов защищенного многостороннего вычисления, требующих синхронного онлайн-присутствия всех </w:t>
      </w:r>
      <w:r>
        <w:lastRenderedPageBreak/>
        <w:t>участников, предложенный ZK-протокол является асинхронным. Лаборатории могут генерировать доказательства независимо и в разное время, что делает его более подходящим для глобальных научных проектов с участием множества центров. Разработанный инструмент закладывает фундамент для нового поколения систем внешней оценки качества и совместных клинических исследований, где доказательность выводов сочетается с доказательно контролируемым раскрытием агрегатов без раскрытия персональных данных.</w:t>
      </w:r>
    </w:p>
    <w:p>
      <w:pPr>
        <w:pStyle w:val="1"/>
      </w:pPr>
      <w:r>
        <w:t>Заключение</w:t>
      </w:r>
    </w:p>
    <w:p>
      <w:r>
        <w:t xml:space="preserve">В результате проведенного исследования был разработан и успешно </w:t>
      </w:r>
      <w:proofErr w:type="spellStart"/>
      <w:r>
        <w:t>валидирован</w:t>
      </w:r>
      <w:proofErr w:type="spellEnd"/>
      <w:r>
        <w:t xml:space="preserve"> криптографический протокол на базе технологии </w:t>
      </w:r>
      <w:proofErr w:type="spellStart"/>
      <w:r>
        <w:t>zk</w:t>
      </w:r>
      <w:proofErr w:type="spellEnd"/>
      <w:r>
        <w:t xml:space="preserve">-STARK, подтвердивший принципиальную возможность проведения статистического сравнения независимых групп без раскрытия первичных данных и их трансграничной передачи. Экспериментально доказано, что предложенная архитектура обеспечивает прецизионную точность вычислений с контролируемой относительной погрешностью, не превышающей </w:t>
      </w:r>
      <m:oMath>
        <m:sSup>
          <m:sSupPr>
            <m:ctrlPr>
              <w:rPr>
                <w:rFonts w:ascii="Cambria Math" w:hAnsi="Cambria Math"/>
                <w:i/>
              </w:rPr>
            </m:ctrlPr>
          </m:sSupPr>
          <m:e>
            <m:r>
              <w:rPr>
                <w:rFonts w:ascii="Cambria Math" w:hAnsi="Cambria Math"/>
              </w:rPr>
              <m:t>2×10</m:t>
            </m:r>
          </m:e>
          <m:sup>
            <m:r>
              <w:rPr>
                <w:rFonts w:ascii="Cambria Math" w:hAnsi="Cambria Math"/>
              </w:rPr>
              <m:t>-12</m:t>
            </m:r>
          </m:sup>
        </m:sSup>
      </m:oMath>
      <w:r>
        <w:t xml:space="preserve"> по отношению к эталонным значениям программного пакета R. </w:t>
      </w:r>
    </w:p>
    <w:p>
      <w:r>
        <w:t xml:space="preserve">Текущая реализация прототипа является функционально законченным решением, пригодным для апробации в рамках регуляторных «песочниц» и пилотных проектов по внешней оценке качества лабораторных исследований. Применение данной технологии позволяет нивелировать основные административные и этические барьеры, связанные с защитой медицинской и коммерческой тайны, сохраняя при этом математическую гарантию достоверности результатов. </w:t>
      </w:r>
    </w:p>
    <w:p>
      <w:r>
        <w:t>Тем не менее, для полномасштабного внедрения протокола в рутинную клиническую практику необходима дальнейшая оптимизация производительности генерации STARK-доказательств, а также методологическая доработка непараметрического блока в части перехода к более мощным критериям или алгоритмам точного нахождения объединенной медианы. Полученные результаты закладывают фундамент для создания децентрализованных систем обработки медицинских данных, обеспечивающих новый уровень доверия и безопасности в многоцентровых научных исследованиях.</w:t>
      </w:r>
    </w:p>
    <w:p>
      <w:pPr>
        <w:pStyle w:val="1"/>
      </w:pPr>
      <w:r>
        <w:t>Список литературы</w:t>
      </w:r>
    </w:p>
    <w:p>
      <w:pPr>
        <w:pStyle w:val="af"/>
        <w:numPr>
          <w:ilvl w:val="0"/>
          <w:numId w:val="5"/>
        </w:numPr>
        <w:ind w:left="0" w:firstLine="0"/>
      </w:pPr>
      <w:bookmarkStart w:id="4" w:name="_Ref239761355"/>
      <w:r>
        <w:t>Закон Республики Беларусь от 07.05.2021 № 99-З «О защите персональных данных».</w:t>
      </w:r>
      <w:bookmarkEnd w:id="4"/>
    </w:p>
    <w:p>
      <w:pPr>
        <w:pStyle w:val="af"/>
        <w:numPr>
          <w:ilvl w:val="0"/>
          <w:numId w:val="5"/>
        </w:numPr>
        <w:ind w:left="0" w:firstLine="0"/>
      </w:pPr>
      <w:bookmarkStart w:id="5" w:name="_Ref239761356"/>
      <w:r>
        <w:t>Федеральный закон от 27.07.2006 № 152-ФЗ «О персональных данных», ст. 12, п. 2–3.</w:t>
      </w:r>
      <w:bookmarkEnd w:id="5"/>
    </w:p>
    <w:p>
      <w:pPr>
        <w:pStyle w:val="af"/>
        <w:numPr>
          <w:ilvl w:val="0"/>
          <w:numId w:val="5"/>
        </w:numPr>
        <w:ind w:left="0" w:firstLine="0"/>
        <w:rPr>
          <w:lang w:val="en-US"/>
        </w:rPr>
      </w:pPr>
      <w:bookmarkStart w:id="6" w:name="_Ref239761357"/>
      <w:r>
        <w:rPr>
          <w:lang w:val="en-US"/>
        </w:rPr>
        <w:t>European Parliament, Regulation (EU) 2016/679 (General Data Protection Regulation), Official Journal of the European Union, 2016, L119, p. 1–88.</w:t>
      </w:r>
      <w:bookmarkEnd w:id="6"/>
    </w:p>
    <w:p>
      <w:pPr>
        <w:pStyle w:val="af"/>
        <w:numPr>
          <w:ilvl w:val="0"/>
          <w:numId w:val="5"/>
        </w:numPr>
        <w:ind w:left="0" w:firstLine="0"/>
        <w:rPr>
          <w:lang w:val="en-US"/>
        </w:rPr>
      </w:pPr>
      <w:bookmarkStart w:id="7" w:name="_Ref239761497"/>
      <w:r>
        <w:rPr>
          <w:lang w:val="en-US"/>
        </w:rPr>
        <w:t xml:space="preserve">Welch B.L., </w:t>
      </w:r>
      <w:proofErr w:type="spellStart"/>
      <w:r>
        <w:rPr>
          <w:lang w:val="en-US"/>
        </w:rPr>
        <w:t>Biometrika</w:t>
      </w:r>
      <w:proofErr w:type="spellEnd"/>
      <w:r>
        <w:rPr>
          <w:lang w:val="en-US"/>
        </w:rPr>
        <w:t>, 1947, vol. 34, no. 1-2, p. 28–35.</w:t>
      </w:r>
      <w:bookmarkEnd w:id="7"/>
    </w:p>
    <w:p>
      <w:pPr>
        <w:pStyle w:val="af"/>
        <w:numPr>
          <w:ilvl w:val="0"/>
          <w:numId w:val="5"/>
        </w:numPr>
        <w:ind w:left="0" w:firstLine="0"/>
        <w:rPr>
          <w:lang w:val="en-US"/>
        </w:rPr>
      </w:pPr>
      <w:bookmarkStart w:id="8" w:name="_Ref239761506"/>
      <w:bookmarkEnd w:id="8"/>
      <w:r>
        <w:rPr>
          <w:lang w:val="en-US"/>
        </w:rPr>
        <w:t>Ben-</w:t>
      </w:r>
      <w:proofErr w:type="spellStart"/>
      <w:r>
        <w:rPr>
          <w:lang w:val="en-US"/>
        </w:rPr>
        <w:t>Sasson</w:t>
      </w:r>
      <w:proofErr w:type="spellEnd"/>
      <w:r>
        <w:rPr>
          <w:lang w:val="en-US"/>
        </w:rPr>
        <w:t xml:space="preserve"> E., </w:t>
      </w:r>
      <w:proofErr w:type="spellStart"/>
      <w:r>
        <w:rPr>
          <w:lang w:val="en-US"/>
        </w:rPr>
        <w:t>Bentov</w:t>
      </w:r>
      <w:proofErr w:type="spellEnd"/>
      <w:r>
        <w:rPr>
          <w:lang w:val="en-US"/>
        </w:rPr>
        <w:t xml:space="preserve"> I., </w:t>
      </w:r>
      <w:proofErr w:type="spellStart"/>
      <w:r>
        <w:rPr>
          <w:lang w:val="en-US"/>
        </w:rPr>
        <w:t>Horesh</w:t>
      </w:r>
      <w:proofErr w:type="spellEnd"/>
      <w:r>
        <w:rPr>
          <w:lang w:val="en-US"/>
        </w:rPr>
        <w:t xml:space="preserve"> Y., </w:t>
      </w:r>
      <w:proofErr w:type="spellStart"/>
      <w:r>
        <w:rPr>
          <w:lang w:val="en-US"/>
        </w:rPr>
        <w:t>Riabzev</w:t>
      </w:r>
      <w:proofErr w:type="spellEnd"/>
      <w:r>
        <w:rPr>
          <w:lang w:val="en-US"/>
        </w:rPr>
        <w:t xml:space="preserve"> M. Scalable, transparent, and post-quantum secure computational integrity. IACR Cryptology </w:t>
      </w:r>
      <w:proofErr w:type="spellStart"/>
      <w:r>
        <w:rPr>
          <w:lang w:val="en-US"/>
        </w:rPr>
        <w:t>ePrint</w:t>
      </w:r>
      <w:proofErr w:type="spellEnd"/>
      <w:r>
        <w:rPr>
          <w:lang w:val="en-US"/>
        </w:rPr>
        <w:t xml:space="preserve"> Archive, 2018, Report 2018/046.</w:t>
      </w:r>
    </w:p>
    <w:p>
      <w:pPr>
        <w:pStyle w:val="af"/>
        <w:numPr>
          <w:ilvl w:val="0"/>
          <w:numId w:val="5"/>
        </w:numPr>
        <w:ind w:left="0" w:firstLine="0"/>
        <w:rPr>
          <w:lang w:val="en-US"/>
        </w:rPr>
      </w:pPr>
      <w:bookmarkStart w:id="9" w:name="_Ref239761528"/>
      <w:r>
        <w:rPr>
          <w:lang w:val="en-US"/>
        </w:rPr>
        <w:t>Mood A.M., Introduction to the Theory of Statistics, 1950, p. 394–398</w:t>
      </w:r>
      <w:bookmarkEnd w:id="9"/>
      <w:r>
        <w:rPr>
          <w:lang w:val="en-US"/>
        </w:rPr>
        <w:t>.</w:t>
      </w:r>
    </w:p>
    <w:p>
      <w:pPr>
        <w:pStyle w:val="af"/>
        <w:numPr>
          <w:ilvl w:val="0"/>
          <w:numId w:val="5"/>
        </w:numPr>
        <w:ind w:left="0" w:firstLine="0"/>
        <w:rPr>
          <w:lang w:val="en-US"/>
        </w:rPr>
      </w:pPr>
      <w:bookmarkStart w:id="10" w:name="_Ref239761539"/>
      <w:r>
        <w:rPr>
          <w:lang w:val="en-US"/>
        </w:rPr>
        <w:t>Fisher R.A., Statistical Methods for Research Workers, 1925</w:t>
      </w:r>
      <w:bookmarkEnd w:id="10"/>
      <w:r>
        <w:rPr>
          <w:lang w:val="en-US"/>
        </w:rPr>
        <w:t>.</w:t>
      </w:r>
    </w:p>
    <w:p>
      <w:pPr>
        <w:pStyle w:val="af"/>
        <w:numPr>
          <w:ilvl w:val="0"/>
          <w:numId w:val="5"/>
        </w:numPr>
        <w:ind w:left="0" w:firstLine="0"/>
        <w:rPr>
          <w:lang w:val="en-US"/>
        </w:rPr>
      </w:pPr>
      <w:r>
        <w:rPr>
          <w:lang w:val="en-US"/>
        </w:rPr>
        <w:t xml:space="preserve">Shapiro, S. S., &amp; Wilk, M. B. (1965). An Analysis of Variance Test for Normality (Complete Samples). </w:t>
      </w:r>
      <w:proofErr w:type="spellStart"/>
      <w:r>
        <w:rPr>
          <w:lang w:val="en-US"/>
        </w:rPr>
        <w:t>Biometrika</w:t>
      </w:r>
      <w:proofErr w:type="spellEnd"/>
      <w:r>
        <w:rPr>
          <w:lang w:val="en-US"/>
        </w:rPr>
        <w:t>, 52(3/4), 591–611. https://doi.org/10.2307/2333709</w:t>
      </w:r>
      <w:r>
        <w:rPr>
          <w:lang w:val="en-US"/>
        </w:rPr>
        <w:t>.</w:t>
      </w:r>
    </w:p>
    <w:sectPr>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F7A1F"/>
    <w:multiLevelType w:val="hybridMultilevel"/>
    <w:tmpl w:val="9692089A"/>
    <w:lvl w:ilvl="0" w:tplc="81E25324">
      <w:start w:val="1"/>
      <w:numFmt w:val="bullet"/>
      <w:pStyle w:val="-"/>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A673C10"/>
    <w:multiLevelType w:val="multilevel"/>
    <w:tmpl w:val="B74689CC"/>
    <w:lvl w:ilvl="0">
      <w:start w:val="1"/>
      <w:numFmt w:val="decimal"/>
      <w:pStyle w:val="1"/>
      <w:lvlText w:val="%1."/>
      <w:lvlJc w:val="left"/>
      <w:pPr>
        <w:ind w:left="709" w:firstLine="0"/>
      </w:pPr>
    </w:lvl>
    <w:lvl w:ilvl="1">
      <w:start w:val="1"/>
      <w:numFmt w:val="decimal"/>
      <w:pStyle w:val="2"/>
      <w:lvlText w:val="%1.%2."/>
      <w:lvlJc w:val="left"/>
      <w:pPr>
        <w:ind w:left="709" w:firstLine="0"/>
      </w:pPr>
    </w:lvl>
    <w:lvl w:ilvl="2">
      <w:start w:val="1"/>
      <w:numFmt w:val="decimal"/>
      <w:pStyle w:val="3"/>
      <w:lvlText w:val="%1.%2.%3."/>
      <w:lvlJc w:val="left"/>
      <w:pPr>
        <w:ind w:left="709" w:firstLine="0"/>
      </w:pPr>
    </w:lvl>
    <w:lvl w:ilvl="3">
      <w:start w:val="1"/>
      <w:numFmt w:val="decimal"/>
      <w:pStyle w:val="4"/>
      <w:lvlText w:val="%1.%2.%3.%4."/>
      <w:lvlJc w:val="left"/>
      <w:pPr>
        <w:ind w:left="709" w:firstLine="0"/>
      </w:pPr>
    </w:lvl>
    <w:lvl w:ilvl="4">
      <w:start w:val="1"/>
      <w:numFmt w:val="decimal"/>
      <w:pStyle w:val="5"/>
      <w:lvlText w:val="%1.%2.%3.%4.%5."/>
      <w:lvlJc w:val="left"/>
      <w:pPr>
        <w:ind w:left="709" w:firstLine="0"/>
      </w:pPr>
    </w:lvl>
    <w:lvl w:ilvl="5">
      <w:start w:val="1"/>
      <w:numFmt w:val="decimal"/>
      <w:pStyle w:val="6"/>
      <w:lvlText w:val="%1.%2.%3.%4.%5.%6."/>
      <w:lvlJc w:val="left"/>
      <w:pPr>
        <w:ind w:left="709" w:firstLine="0"/>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 w15:restartNumberingAfterBreak="0">
    <w:nsid w:val="507850A8"/>
    <w:multiLevelType w:val="hybridMultilevel"/>
    <w:tmpl w:val="6C545684"/>
    <w:lvl w:ilvl="0" w:tplc="D4D68C9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537C042D"/>
    <w:multiLevelType w:val="hybridMultilevel"/>
    <w:tmpl w:val="DECCFBE8"/>
    <w:lvl w:ilvl="0" w:tplc="82BE3F0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DDE6F98"/>
    <w:multiLevelType w:val="hybridMultilevel"/>
    <w:tmpl w:val="BE068BB8"/>
    <w:lvl w:ilvl="0" w:tplc="F84E7B34">
      <w:start w:val="1"/>
      <w:numFmt w:val="decimal"/>
      <w:pStyle w:val="-0"/>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85A487-8C57-4591-B254-B96C697EB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ind w:firstLine="709"/>
      <w:jc w:val="both"/>
    </w:pPr>
  </w:style>
  <w:style w:type="paragraph" w:styleId="1">
    <w:name w:val="heading 1"/>
    <w:basedOn w:val="a"/>
    <w:next w:val="a"/>
    <w:link w:val="10"/>
    <w:uiPriority w:val="9"/>
    <w:qFormat/>
    <w:pPr>
      <w:keepNext/>
      <w:keepLines/>
      <w:numPr>
        <w:numId w:val="1"/>
      </w:numPr>
      <w:spacing w:before="240" w:after="240"/>
      <w:ind w:left="0"/>
      <w:outlineLvl w:val="0"/>
    </w:pPr>
    <w:rPr>
      <w:rFonts w:eastAsiaTheme="majorEastAsia"/>
      <w:b/>
      <w:sz w:val="28"/>
      <w:szCs w:val="32"/>
    </w:rPr>
  </w:style>
  <w:style w:type="paragraph" w:styleId="2">
    <w:name w:val="heading 2"/>
    <w:basedOn w:val="a"/>
    <w:next w:val="a"/>
    <w:link w:val="20"/>
    <w:uiPriority w:val="9"/>
    <w:semiHidden/>
    <w:unhideWhenUsed/>
    <w:qFormat/>
    <w:pPr>
      <w:keepNext/>
      <w:keepLines/>
      <w:numPr>
        <w:ilvl w:val="1"/>
        <w:numId w:val="1"/>
      </w:numPr>
      <w:spacing w:before="240" w:after="240"/>
      <w:ind w:left="0"/>
      <w:outlineLvl w:val="1"/>
    </w:pPr>
    <w:rPr>
      <w:rFonts w:eastAsiaTheme="majorEastAsia"/>
      <w:b/>
      <w:sz w:val="28"/>
      <w:szCs w:val="26"/>
    </w:rPr>
  </w:style>
  <w:style w:type="paragraph" w:styleId="3">
    <w:name w:val="heading 3"/>
    <w:basedOn w:val="a"/>
    <w:next w:val="a"/>
    <w:link w:val="30"/>
    <w:uiPriority w:val="9"/>
    <w:semiHidden/>
    <w:unhideWhenUsed/>
    <w:qFormat/>
    <w:pPr>
      <w:keepNext/>
      <w:keepLines/>
      <w:numPr>
        <w:ilvl w:val="2"/>
        <w:numId w:val="1"/>
      </w:numPr>
      <w:spacing w:before="240" w:after="240"/>
      <w:ind w:left="0"/>
      <w:outlineLvl w:val="2"/>
    </w:pPr>
    <w:rPr>
      <w:rFonts w:eastAsiaTheme="majorEastAsia"/>
      <w:b/>
      <w:sz w:val="28"/>
      <w:szCs w:val="24"/>
    </w:rPr>
  </w:style>
  <w:style w:type="paragraph" w:styleId="4">
    <w:name w:val="heading 4"/>
    <w:basedOn w:val="a"/>
    <w:next w:val="a"/>
    <w:link w:val="40"/>
    <w:uiPriority w:val="9"/>
    <w:semiHidden/>
    <w:unhideWhenUsed/>
    <w:qFormat/>
    <w:pPr>
      <w:keepNext/>
      <w:keepLines/>
      <w:numPr>
        <w:ilvl w:val="3"/>
        <w:numId w:val="1"/>
      </w:numPr>
      <w:spacing w:before="240" w:after="240"/>
      <w:ind w:left="0"/>
      <w:outlineLvl w:val="3"/>
    </w:pPr>
    <w:rPr>
      <w:rFonts w:eastAsiaTheme="majorEastAsia"/>
      <w:b/>
      <w:iCs/>
      <w:sz w:val="28"/>
    </w:rPr>
  </w:style>
  <w:style w:type="paragraph" w:styleId="5">
    <w:name w:val="heading 5"/>
    <w:basedOn w:val="a"/>
    <w:next w:val="a"/>
    <w:link w:val="50"/>
    <w:uiPriority w:val="9"/>
    <w:semiHidden/>
    <w:unhideWhenUsed/>
    <w:qFormat/>
    <w:pPr>
      <w:keepNext/>
      <w:keepLines/>
      <w:numPr>
        <w:ilvl w:val="4"/>
        <w:numId w:val="1"/>
      </w:numPr>
      <w:spacing w:before="240" w:after="240"/>
      <w:ind w:left="0"/>
      <w:outlineLvl w:val="4"/>
    </w:pPr>
    <w:rPr>
      <w:rFonts w:eastAsiaTheme="majorEastAsia"/>
      <w:b/>
      <w:sz w:val="28"/>
    </w:rPr>
  </w:style>
  <w:style w:type="paragraph" w:styleId="6">
    <w:name w:val="heading 6"/>
    <w:basedOn w:val="a"/>
    <w:next w:val="a"/>
    <w:link w:val="60"/>
    <w:uiPriority w:val="9"/>
    <w:semiHidden/>
    <w:unhideWhenUsed/>
    <w:qFormat/>
    <w:pPr>
      <w:keepNext/>
      <w:keepLines/>
      <w:numPr>
        <w:ilvl w:val="5"/>
        <w:numId w:val="1"/>
      </w:numPr>
      <w:spacing w:before="240" w:after="240"/>
      <w:ind w:left="0"/>
      <w:outlineLvl w:val="5"/>
    </w:pPr>
    <w:rPr>
      <w:rFonts w:eastAsiaTheme="majorEastAsia"/>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pPr>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Pr>
      <w:rFonts w:asciiTheme="majorHAnsi" w:eastAsiaTheme="majorEastAsia" w:hAnsiTheme="majorHAnsi" w:cstheme="majorBidi"/>
      <w:spacing w:val="-10"/>
      <w:kern w:val="28"/>
      <w:sz w:val="56"/>
      <w:szCs w:val="56"/>
    </w:rPr>
  </w:style>
  <w:style w:type="paragraph" w:styleId="a5">
    <w:name w:val="No Spacing"/>
    <w:uiPriority w:val="1"/>
    <w:pPr>
      <w:spacing w:after="0" w:line="240" w:lineRule="auto"/>
    </w:pPr>
  </w:style>
  <w:style w:type="character" w:styleId="a6">
    <w:name w:val="Subtle Emphasis"/>
    <w:basedOn w:val="a0"/>
    <w:uiPriority w:val="19"/>
    <w:rPr>
      <w:i/>
      <w:iCs/>
      <w:color w:val="404040" w:themeColor="text1" w:themeTint="BF"/>
    </w:rPr>
  </w:style>
  <w:style w:type="character" w:styleId="a7">
    <w:name w:val="Emphasis"/>
    <w:basedOn w:val="a0"/>
    <w:uiPriority w:val="20"/>
    <w:rPr>
      <w:i/>
      <w:iCs/>
    </w:rPr>
  </w:style>
  <w:style w:type="character" w:styleId="a8">
    <w:name w:val="Intense Emphasis"/>
    <w:basedOn w:val="a0"/>
    <w:uiPriority w:val="21"/>
    <w:rPr>
      <w:i/>
      <w:iCs/>
      <w:color w:val="4472C4" w:themeColor="accent1"/>
    </w:rPr>
  </w:style>
  <w:style w:type="character" w:styleId="a9">
    <w:name w:val="Strong"/>
    <w:basedOn w:val="a0"/>
    <w:uiPriority w:val="22"/>
    <w:rPr>
      <w:b/>
      <w:bCs/>
    </w:rPr>
  </w:style>
  <w:style w:type="paragraph" w:styleId="21">
    <w:name w:val="Quote"/>
    <w:basedOn w:val="a"/>
    <w:next w:val="a"/>
    <w:link w:val="22"/>
    <w:uiPriority w:val="29"/>
    <w:pPr>
      <w:spacing w:before="200"/>
      <w:ind w:left="864" w:right="864"/>
      <w:jc w:val="center"/>
    </w:pPr>
    <w:rPr>
      <w:i/>
      <w:iCs/>
      <w:color w:val="404040" w:themeColor="text1" w:themeTint="BF"/>
    </w:rPr>
  </w:style>
  <w:style w:type="character" w:customStyle="1" w:styleId="22">
    <w:name w:val="Цитата 2 Знак"/>
    <w:basedOn w:val="a0"/>
    <w:link w:val="21"/>
    <w:uiPriority w:val="29"/>
    <w:rPr>
      <w:i/>
      <w:iCs/>
      <w:color w:val="404040" w:themeColor="text1" w:themeTint="BF"/>
    </w:rPr>
  </w:style>
  <w:style w:type="paragraph" w:styleId="aa">
    <w:name w:val="Intense Quote"/>
    <w:basedOn w:val="a"/>
    <w:next w:val="a"/>
    <w:link w:val="ab"/>
    <w:uiPriority w:val="3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b">
    <w:name w:val="Выделенная цитата Знак"/>
    <w:basedOn w:val="a0"/>
    <w:link w:val="aa"/>
    <w:uiPriority w:val="30"/>
    <w:rPr>
      <w:i/>
      <w:iCs/>
      <w:color w:val="4472C4" w:themeColor="accent1"/>
    </w:rPr>
  </w:style>
  <w:style w:type="character" w:styleId="ac">
    <w:name w:val="Subtle Reference"/>
    <w:basedOn w:val="a0"/>
    <w:uiPriority w:val="31"/>
    <w:rPr>
      <w:smallCaps/>
      <w:color w:val="5A5A5A" w:themeColor="text1" w:themeTint="A5"/>
    </w:rPr>
  </w:style>
  <w:style w:type="character" w:styleId="ad">
    <w:name w:val="Intense Reference"/>
    <w:basedOn w:val="a0"/>
    <w:uiPriority w:val="32"/>
    <w:rPr>
      <w:b/>
      <w:bCs/>
      <w:smallCaps/>
      <w:color w:val="4472C4" w:themeColor="accent1"/>
      <w:spacing w:val="5"/>
    </w:rPr>
  </w:style>
  <w:style w:type="character" w:styleId="ae">
    <w:name w:val="Book Title"/>
    <w:basedOn w:val="a0"/>
    <w:uiPriority w:val="33"/>
    <w:rPr>
      <w:b/>
      <w:bCs/>
      <w:i/>
      <w:iCs/>
      <w:spacing w:val="5"/>
    </w:rPr>
  </w:style>
  <w:style w:type="paragraph" w:styleId="af">
    <w:name w:val="List Paragraph"/>
    <w:basedOn w:val="a"/>
    <w:uiPriority w:val="34"/>
    <w:pPr>
      <w:ind w:left="720"/>
      <w:contextualSpacing/>
    </w:pPr>
  </w:style>
  <w:style w:type="paragraph" w:styleId="af0">
    <w:name w:val="Subtitle"/>
    <w:basedOn w:val="a"/>
    <w:next w:val="a"/>
    <w:link w:val="af1"/>
    <w:uiPriority w:val="11"/>
    <w:pPr>
      <w:numPr>
        <w:ilvl w:val="1"/>
      </w:numPr>
      <w:ind w:firstLine="709"/>
    </w:pPr>
    <w:rPr>
      <w:rFonts w:asciiTheme="minorHAnsi" w:eastAsiaTheme="minorEastAsia" w:hAnsiTheme="minorHAnsi" w:cstheme="minorBidi"/>
      <w:color w:val="5A5A5A" w:themeColor="text1" w:themeTint="A5"/>
      <w:spacing w:val="15"/>
      <w:sz w:val="22"/>
    </w:rPr>
  </w:style>
  <w:style w:type="character" w:customStyle="1" w:styleId="af1">
    <w:name w:val="Подзаголовок Знак"/>
    <w:basedOn w:val="a0"/>
    <w:link w:val="af0"/>
    <w:uiPriority w:val="11"/>
    <w:rPr>
      <w:rFonts w:asciiTheme="minorHAnsi" w:eastAsiaTheme="minorEastAsia" w:hAnsiTheme="minorHAnsi" w:cstheme="minorBidi"/>
      <w:color w:val="5A5A5A" w:themeColor="text1" w:themeTint="A5"/>
      <w:spacing w:val="15"/>
      <w:sz w:val="22"/>
    </w:rPr>
  </w:style>
  <w:style w:type="paragraph" w:customStyle="1" w:styleId="af2">
    <w:name w:val="По центру"/>
    <w:basedOn w:val="a"/>
    <w:link w:val="af3"/>
    <w:pPr>
      <w:keepNext/>
      <w:ind w:firstLine="0"/>
      <w:jc w:val="center"/>
    </w:pPr>
  </w:style>
  <w:style w:type="character" w:customStyle="1" w:styleId="af3">
    <w:name w:val="По центру Знак"/>
    <w:basedOn w:val="a0"/>
    <w:link w:val="af2"/>
  </w:style>
  <w:style w:type="paragraph" w:customStyle="1" w:styleId="0">
    <w:name w:val="Заголовок 0"/>
    <w:basedOn w:val="a"/>
    <w:link w:val="00"/>
    <w:pPr>
      <w:spacing w:before="240" w:after="240"/>
      <w:ind w:firstLine="0"/>
      <w:outlineLvl w:val="0"/>
    </w:pPr>
    <w:rPr>
      <w:b/>
      <w:sz w:val="28"/>
    </w:rPr>
  </w:style>
  <w:style w:type="character" w:customStyle="1" w:styleId="00">
    <w:name w:val="Заголовок 0 Знак"/>
    <w:basedOn w:val="a0"/>
    <w:link w:val="0"/>
    <w:rPr>
      <w:b/>
      <w:sz w:val="28"/>
    </w:rPr>
  </w:style>
  <w:style w:type="paragraph" w:customStyle="1" w:styleId="af4">
    <w:name w:val="Подраздел"/>
    <w:basedOn w:val="a"/>
    <w:link w:val="af5"/>
    <w:pPr>
      <w:keepNext/>
      <w:spacing w:before="120" w:after="120"/>
    </w:pPr>
    <w:rPr>
      <w:b/>
    </w:rPr>
  </w:style>
  <w:style w:type="character" w:customStyle="1" w:styleId="af5">
    <w:name w:val="Подраздел Знак"/>
    <w:basedOn w:val="a0"/>
    <w:link w:val="af4"/>
    <w:rPr>
      <w:b/>
    </w:rPr>
  </w:style>
  <w:style w:type="paragraph" w:customStyle="1" w:styleId="af6">
    <w:name w:val="Таблица"/>
    <w:basedOn w:val="a"/>
    <w:link w:val="af7"/>
    <w:pPr>
      <w:keepNext/>
      <w:spacing w:before="120"/>
      <w:ind w:firstLine="0"/>
    </w:pPr>
  </w:style>
  <w:style w:type="character" w:customStyle="1" w:styleId="af7">
    <w:name w:val="Таблица Знак"/>
    <w:basedOn w:val="a0"/>
    <w:link w:val="af6"/>
  </w:style>
  <w:style w:type="paragraph" w:customStyle="1" w:styleId="af8">
    <w:name w:val="Рисунок"/>
    <w:basedOn w:val="a"/>
    <w:link w:val="af9"/>
    <w:pPr>
      <w:spacing w:after="120"/>
      <w:ind w:firstLine="0"/>
      <w:jc w:val="center"/>
    </w:pPr>
  </w:style>
  <w:style w:type="character" w:customStyle="1" w:styleId="af9">
    <w:name w:val="Рисунок Знак"/>
    <w:basedOn w:val="a0"/>
    <w:link w:val="af8"/>
  </w:style>
  <w:style w:type="paragraph" w:customStyle="1" w:styleId="afa">
    <w:name w:val="Перечень"/>
    <w:basedOn w:val="a"/>
    <w:link w:val="afb"/>
    <w:pPr>
      <w:keepNext/>
      <w:spacing w:before="120"/>
      <w:ind w:firstLine="0"/>
    </w:pPr>
  </w:style>
  <w:style w:type="character" w:customStyle="1" w:styleId="afb">
    <w:name w:val="Перечень Знак"/>
    <w:basedOn w:val="a0"/>
    <w:link w:val="afa"/>
  </w:style>
  <w:style w:type="paragraph" w:customStyle="1" w:styleId="afc">
    <w:name w:val="Оглавление рисунков"/>
    <w:basedOn w:val="a"/>
    <w:link w:val="afd"/>
    <w:pPr>
      <w:ind w:firstLine="0"/>
      <w:contextualSpacing/>
      <w:jc w:val="left"/>
    </w:pPr>
  </w:style>
  <w:style w:type="character" w:customStyle="1" w:styleId="afd">
    <w:name w:val="Оглавление рисунков Знак"/>
    <w:basedOn w:val="a0"/>
    <w:link w:val="afc"/>
  </w:style>
  <w:style w:type="paragraph" w:customStyle="1" w:styleId="-0">
    <w:name w:val="Список - номер"/>
    <w:basedOn w:val="a"/>
    <w:link w:val="-1"/>
    <w:pPr>
      <w:numPr>
        <w:numId w:val="2"/>
      </w:numPr>
      <w:spacing w:before="120" w:after="120"/>
      <w:ind w:left="0" w:firstLine="0"/>
      <w:contextualSpacing/>
    </w:pPr>
  </w:style>
  <w:style w:type="character" w:customStyle="1" w:styleId="-1">
    <w:name w:val="Список - номер Знак"/>
    <w:basedOn w:val="a0"/>
    <w:link w:val="-0"/>
  </w:style>
  <w:style w:type="paragraph" w:customStyle="1" w:styleId="-">
    <w:name w:val="Список - маркер"/>
    <w:basedOn w:val="a"/>
    <w:link w:val="-2"/>
    <w:pPr>
      <w:numPr>
        <w:numId w:val="3"/>
      </w:numPr>
      <w:spacing w:before="120" w:after="120"/>
      <w:ind w:left="0" w:firstLine="0"/>
      <w:contextualSpacing/>
    </w:pPr>
  </w:style>
  <w:style w:type="character" w:customStyle="1" w:styleId="-2">
    <w:name w:val="Список - маркер Знак"/>
    <w:basedOn w:val="a0"/>
    <w:link w:val="-"/>
  </w:style>
  <w:style w:type="paragraph" w:styleId="11">
    <w:name w:val="toc 1"/>
    <w:basedOn w:val="a"/>
    <w:next w:val="a"/>
    <w:autoRedefine/>
    <w:uiPriority w:val="39"/>
    <w:semiHidden/>
    <w:unhideWhenUsed/>
    <w:pPr>
      <w:ind w:firstLine="0"/>
    </w:pPr>
  </w:style>
  <w:style w:type="paragraph" w:styleId="23">
    <w:name w:val="toc 2"/>
    <w:basedOn w:val="a"/>
    <w:next w:val="a"/>
    <w:autoRedefine/>
    <w:uiPriority w:val="39"/>
    <w:semiHidden/>
    <w:unhideWhenUsed/>
    <w:pPr>
      <w:ind w:firstLine="0"/>
    </w:pPr>
  </w:style>
  <w:style w:type="paragraph" w:styleId="31">
    <w:name w:val="toc 3"/>
    <w:basedOn w:val="a"/>
    <w:next w:val="a"/>
    <w:autoRedefine/>
    <w:uiPriority w:val="39"/>
    <w:semiHidden/>
    <w:unhideWhenUsed/>
    <w:pPr>
      <w:ind w:firstLine="0"/>
    </w:pPr>
  </w:style>
  <w:style w:type="paragraph" w:styleId="41">
    <w:name w:val="toc 4"/>
    <w:basedOn w:val="a"/>
    <w:next w:val="a"/>
    <w:autoRedefine/>
    <w:uiPriority w:val="39"/>
    <w:semiHidden/>
    <w:unhideWhenUsed/>
    <w:pPr>
      <w:ind w:firstLine="0"/>
    </w:pPr>
  </w:style>
  <w:style w:type="paragraph" w:styleId="51">
    <w:name w:val="toc 5"/>
    <w:basedOn w:val="a"/>
    <w:next w:val="a"/>
    <w:autoRedefine/>
    <w:uiPriority w:val="39"/>
    <w:semiHidden/>
    <w:unhideWhenUsed/>
    <w:pPr>
      <w:ind w:firstLine="0"/>
    </w:pPr>
  </w:style>
  <w:style w:type="paragraph" w:styleId="61">
    <w:name w:val="toc 6"/>
    <w:basedOn w:val="a"/>
    <w:next w:val="a"/>
    <w:autoRedefine/>
    <w:uiPriority w:val="39"/>
    <w:semiHidden/>
    <w:unhideWhenUsed/>
    <w:pPr>
      <w:ind w:firstLine="0"/>
    </w:pPr>
  </w:style>
  <w:style w:type="character" w:customStyle="1" w:styleId="10">
    <w:name w:val="Заголовок 1 Знак"/>
    <w:basedOn w:val="a0"/>
    <w:link w:val="1"/>
    <w:uiPriority w:val="9"/>
    <w:rPr>
      <w:rFonts w:eastAsiaTheme="majorEastAsia"/>
      <w:b/>
      <w:sz w:val="28"/>
      <w:szCs w:val="32"/>
    </w:rPr>
  </w:style>
  <w:style w:type="character" w:customStyle="1" w:styleId="20">
    <w:name w:val="Заголовок 2 Знак"/>
    <w:basedOn w:val="a0"/>
    <w:link w:val="2"/>
    <w:uiPriority w:val="9"/>
    <w:semiHidden/>
    <w:rPr>
      <w:rFonts w:eastAsiaTheme="majorEastAsia"/>
      <w:b/>
      <w:sz w:val="28"/>
      <w:szCs w:val="26"/>
    </w:rPr>
  </w:style>
  <w:style w:type="character" w:customStyle="1" w:styleId="30">
    <w:name w:val="Заголовок 3 Знак"/>
    <w:basedOn w:val="a0"/>
    <w:link w:val="3"/>
    <w:uiPriority w:val="9"/>
    <w:semiHidden/>
    <w:rPr>
      <w:rFonts w:eastAsiaTheme="majorEastAsia"/>
      <w:b/>
      <w:sz w:val="28"/>
      <w:szCs w:val="24"/>
    </w:rPr>
  </w:style>
  <w:style w:type="character" w:customStyle="1" w:styleId="40">
    <w:name w:val="Заголовок 4 Знак"/>
    <w:basedOn w:val="a0"/>
    <w:link w:val="4"/>
    <w:uiPriority w:val="9"/>
    <w:semiHidden/>
    <w:rPr>
      <w:rFonts w:eastAsiaTheme="majorEastAsia"/>
      <w:b/>
      <w:iCs/>
      <w:sz w:val="28"/>
    </w:rPr>
  </w:style>
  <w:style w:type="character" w:customStyle="1" w:styleId="50">
    <w:name w:val="Заголовок 5 Знак"/>
    <w:basedOn w:val="a0"/>
    <w:link w:val="5"/>
    <w:uiPriority w:val="9"/>
    <w:semiHidden/>
    <w:rPr>
      <w:rFonts w:eastAsiaTheme="majorEastAsia"/>
      <w:b/>
      <w:sz w:val="28"/>
    </w:rPr>
  </w:style>
  <w:style w:type="character" w:customStyle="1" w:styleId="60">
    <w:name w:val="Заголовок 6 Знак"/>
    <w:basedOn w:val="a0"/>
    <w:link w:val="6"/>
    <w:uiPriority w:val="9"/>
    <w:semiHidden/>
    <w:rPr>
      <w:rFonts w:eastAsiaTheme="majorEastAsia"/>
      <w:b/>
      <w:sz w:val="28"/>
    </w:rPr>
  </w:style>
  <w:style w:type="paragraph" w:styleId="afe">
    <w:name w:val="Normal (Web)"/>
    <w:basedOn w:val="a"/>
    <w:uiPriority w:val="99"/>
    <w:semiHidden/>
    <w:unhideWhenUsed/>
    <w:pPr>
      <w:spacing w:before="100" w:beforeAutospacing="1" w:after="100" w:afterAutospacing="1"/>
      <w:ind w:firstLine="0"/>
      <w:jc w:val="left"/>
    </w:pPr>
    <w:rPr>
      <w:rFonts w:eastAsia="Times New Roman"/>
      <w:szCs w:val="24"/>
      <w:lang w:eastAsia="ru-RU"/>
    </w:rPr>
  </w:style>
  <w:style w:type="paragraph" w:styleId="aff">
    <w:name w:val="caption"/>
    <w:basedOn w:val="a"/>
    <w:next w:val="a"/>
    <w:uiPriority w:val="35"/>
    <w:unhideWhenUsed/>
    <w:pPr>
      <w:spacing w:after="200"/>
    </w:pPr>
    <w:rPr>
      <w:i/>
      <w:iCs/>
      <w:color w:val="44546A" w:themeColor="text2"/>
      <w:sz w:val="18"/>
      <w:szCs w:val="18"/>
    </w:rPr>
  </w:style>
  <w:style w:type="table" w:styleId="aff0">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225266">
      <w:bodyDiv w:val="1"/>
      <w:marLeft w:val="0"/>
      <w:marRight w:val="0"/>
      <w:marTop w:val="0"/>
      <w:marBottom w:val="0"/>
      <w:divBdr>
        <w:top w:val="none" w:sz="0" w:space="0" w:color="auto"/>
        <w:left w:val="none" w:sz="0" w:space="0" w:color="auto"/>
        <w:bottom w:val="none" w:sz="0" w:space="0" w:color="auto"/>
        <w:right w:val="none" w:sz="0" w:space="0" w:color="auto"/>
      </w:divBdr>
    </w:div>
    <w:div w:id="271909046">
      <w:bodyDiv w:val="1"/>
      <w:marLeft w:val="0"/>
      <w:marRight w:val="0"/>
      <w:marTop w:val="0"/>
      <w:marBottom w:val="0"/>
      <w:divBdr>
        <w:top w:val="none" w:sz="0" w:space="0" w:color="auto"/>
        <w:left w:val="none" w:sz="0" w:space="0" w:color="auto"/>
        <w:bottom w:val="none" w:sz="0" w:space="0" w:color="auto"/>
        <w:right w:val="none" w:sz="0" w:space="0" w:color="auto"/>
      </w:divBdr>
    </w:div>
    <w:div w:id="330764141">
      <w:bodyDiv w:val="1"/>
      <w:marLeft w:val="0"/>
      <w:marRight w:val="0"/>
      <w:marTop w:val="0"/>
      <w:marBottom w:val="0"/>
      <w:divBdr>
        <w:top w:val="none" w:sz="0" w:space="0" w:color="auto"/>
        <w:left w:val="none" w:sz="0" w:space="0" w:color="auto"/>
        <w:bottom w:val="none" w:sz="0" w:space="0" w:color="auto"/>
        <w:right w:val="none" w:sz="0" w:space="0" w:color="auto"/>
      </w:divBdr>
    </w:div>
    <w:div w:id="431248465">
      <w:bodyDiv w:val="1"/>
      <w:marLeft w:val="0"/>
      <w:marRight w:val="0"/>
      <w:marTop w:val="0"/>
      <w:marBottom w:val="0"/>
      <w:divBdr>
        <w:top w:val="none" w:sz="0" w:space="0" w:color="auto"/>
        <w:left w:val="none" w:sz="0" w:space="0" w:color="auto"/>
        <w:bottom w:val="none" w:sz="0" w:space="0" w:color="auto"/>
        <w:right w:val="none" w:sz="0" w:space="0" w:color="auto"/>
      </w:divBdr>
    </w:div>
    <w:div w:id="568610976">
      <w:bodyDiv w:val="1"/>
      <w:marLeft w:val="0"/>
      <w:marRight w:val="0"/>
      <w:marTop w:val="0"/>
      <w:marBottom w:val="0"/>
      <w:divBdr>
        <w:top w:val="none" w:sz="0" w:space="0" w:color="auto"/>
        <w:left w:val="none" w:sz="0" w:space="0" w:color="auto"/>
        <w:bottom w:val="none" w:sz="0" w:space="0" w:color="auto"/>
        <w:right w:val="none" w:sz="0" w:space="0" w:color="auto"/>
      </w:divBdr>
    </w:div>
    <w:div w:id="573978930">
      <w:bodyDiv w:val="1"/>
      <w:marLeft w:val="0"/>
      <w:marRight w:val="0"/>
      <w:marTop w:val="0"/>
      <w:marBottom w:val="0"/>
      <w:divBdr>
        <w:top w:val="none" w:sz="0" w:space="0" w:color="auto"/>
        <w:left w:val="none" w:sz="0" w:space="0" w:color="auto"/>
        <w:bottom w:val="none" w:sz="0" w:space="0" w:color="auto"/>
        <w:right w:val="none" w:sz="0" w:space="0" w:color="auto"/>
      </w:divBdr>
    </w:div>
    <w:div w:id="717626234">
      <w:bodyDiv w:val="1"/>
      <w:marLeft w:val="0"/>
      <w:marRight w:val="0"/>
      <w:marTop w:val="0"/>
      <w:marBottom w:val="0"/>
      <w:divBdr>
        <w:top w:val="none" w:sz="0" w:space="0" w:color="auto"/>
        <w:left w:val="none" w:sz="0" w:space="0" w:color="auto"/>
        <w:bottom w:val="none" w:sz="0" w:space="0" w:color="auto"/>
        <w:right w:val="none" w:sz="0" w:space="0" w:color="auto"/>
      </w:divBdr>
    </w:div>
    <w:div w:id="830682613">
      <w:bodyDiv w:val="1"/>
      <w:marLeft w:val="0"/>
      <w:marRight w:val="0"/>
      <w:marTop w:val="0"/>
      <w:marBottom w:val="0"/>
      <w:divBdr>
        <w:top w:val="none" w:sz="0" w:space="0" w:color="auto"/>
        <w:left w:val="none" w:sz="0" w:space="0" w:color="auto"/>
        <w:bottom w:val="none" w:sz="0" w:space="0" w:color="auto"/>
        <w:right w:val="none" w:sz="0" w:space="0" w:color="auto"/>
      </w:divBdr>
    </w:div>
    <w:div w:id="960190249">
      <w:bodyDiv w:val="1"/>
      <w:marLeft w:val="0"/>
      <w:marRight w:val="0"/>
      <w:marTop w:val="0"/>
      <w:marBottom w:val="0"/>
      <w:divBdr>
        <w:top w:val="none" w:sz="0" w:space="0" w:color="auto"/>
        <w:left w:val="none" w:sz="0" w:space="0" w:color="auto"/>
        <w:bottom w:val="none" w:sz="0" w:space="0" w:color="auto"/>
        <w:right w:val="none" w:sz="0" w:space="0" w:color="auto"/>
      </w:divBdr>
    </w:div>
    <w:div w:id="1070077624">
      <w:bodyDiv w:val="1"/>
      <w:marLeft w:val="0"/>
      <w:marRight w:val="0"/>
      <w:marTop w:val="0"/>
      <w:marBottom w:val="0"/>
      <w:divBdr>
        <w:top w:val="none" w:sz="0" w:space="0" w:color="auto"/>
        <w:left w:val="none" w:sz="0" w:space="0" w:color="auto"/>
        <w:bottom w:val="none" w:sz="0" w:space="0" w:color="auto"/>
        <w:right w:val="none" w:sz="0" w:space="0" w:color="auto"/>
      </w:divBdr>
    </w:div>
    <w:div w:id="1464998954">
      <w:bodyDiv w:val="1"/>
      <w:marLeft w:val="0"/>
      <w:marRight w:val="0"/>
      <w:marTop w:val="0"/>
      <w:marBottom w:val="0"/>
      <w:divBdr>
        <w:top w:val="none" w:sz="0" w:space="0" w:color="auto"/>
        <w:left w:val="none" w:sz="0" w:space="0" w:color="auto"/>
        <w:bottom w:val="none" w:sz="0" w:space="0" w:color="auto"/>
        <w:right w:val="none" w:sz="0" w:space="0" w:color="auto"/>
      </w:divBdr>
    </w:div>
    <w:div w:id="1537893694">
      <w:bodyDiv w:val="1"/>
      <w:marLeft w:val="0"/>
      <w:marRight w:val="0"/>
      <w:marTop w:val="0"/>
      <w:marBottom w:val="0"/>
      <w:divBdr>
        <w:top w:val="none" w:sz="0" w:space="0" w:color="auto"/>
        <w:left w:val="none" w:sz="0" w:space="0" w:color="auto"/>
        <w:bottom w:val="none" w:sz="0" w:space="0" w:color="auto"/>
        <w:right w:val="none" w:sz="0" w:space="0" w:color="auto"/>
      </w:divBdr>
    </w:div>
    <w:div w:id="1607155876">
      <w:bodyDiv w:val="1"/>
      <w:marLeft w:val="0"/>
      <w:marRight w:val="0"/>
      <w:marTop w:val="0"/>
      <w:marBottom w:val="0"/>
      <w:divBdr>
        <w:top w:val="none" w:sz="0" w:space="0" w:color="auto"/>
        <w:left w:val="none" w:sz="0" w:space="0" w:color="auto"/>
        <w:bottom w:val="none" w:sz="0" w:space="0" w:color="auto"/>
        <w:right w:val="none" w:sz="0" w:space="0" w:color="auto"/>
      </w:divBdr>
    </w:div>
    <w:div w:id="188671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734</TotalTime>
  <Pages>8</Pages>
  <Words>3942</Words>
  <Characters>22472</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Александр</cp:lastModifiedBy>
  <cp:revision>557</cp:revision>
  <dcterms:created xsi:type="dcterms:W3CDTF">2025-08-23T19:11:00Z</dcterms:created>
  <dcterms:modified xsi:type="dcterms:W3CDTF">2026-09-09T04:43:00Z</dcterms:modified>
</cp:coreProperties>
</file>