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1"/>
        <w:numPr>
          <w:ilvl w:val="0"/>
          <w:numId w:val="0"/>
        </w:numPr>
        <w:jc w:val="center"/>
      </w:pPr>
      <w:r>
        <w:rPr>
          <w:highlight w:val="red"/>
        </w:rPr>
        <w:t>Применение доказательств с нулевым разглашением для обеспечения конфиденциальности и регуляторного соответствия в многоцентровых медицинских исследованиях</w:t>
      </w:r>
    </w:p>
    <w:p>
      <w:pPr>
        <w:pStyle w:val="1"/>
        <w:numPr>
          <w:ilvl w:val="0"/>
          <w:numId w:val="0"/>
        </w:numPr>
        <w:jc w:val="center"/>
      </w:pPr>
      <w:r>
        <w:rPr>
          <w:highlight w:val="yellow"/>
        </w:rPr>
        <w:t>Применение протоколов с нулевым разглашением для защищённого межлабораторного анализа данных</w:t>
      </w:r>
    </w:p>
    <w:p>
      <w:pPr>
        <w:ind w:firstLine="0"/>
      </w:pPr>
    </w:p>
    <w:p>
      <w:pPr>
        <w:pStyle w:val="1"/>
      </w:pPr>
      <w:r>
        <w:t>Введение</w:t>
      </w:r>
    </w:p>
    <w:p/>
    <w:p>
      <w:r>
        <w:t>В современной практике клинических исследований и международных научных проектов ключевой организационной проблемой является консолидация лабораторных данных, полученных в различных географически распределенных центрах. Проведение многоцентровых рандомизированных испытаний, формирование эпидемиологических когорт и ведение международных регистров пациентов требуют объединения широкого спектра показателей – от концентраций биомаркеров до генетических и иммунологических профилей – для последующего статистического анализа. При этом передача таких данных через границы государств неизбежно подпадает под действие нормативно-правовых актов, регулирующих обращение с персональными и медицинскими данными [Закон Республики Беларусь от 07.05.2021 № 99-З «О защите персональных данных»; Федеральный закон от 27.07.2006 № 152-ФЗ «О персональных данных», ст. 12, п. 2–3; European Parliament, Regulation (EU) 2016/679 (General Data Protection Regulation), Official Journal of the European Union, 2016, L119, p. 1–88]. Требования к согласию субъектов, целевому использованию, обеспечению безопасности и, особенно, к трансграничной передаче существенно различаются между юрисдикциями, что нередко приводит к задержкам, дополнительным административным барьерам и даже к отказу от включения некоторых центров в международные коллаборации.</w:t>
      </w:r>
    </w:p>
    <w:p>
      <w:r>
        <w:t>Особую остроту данная проблема приобретает при необходимости передачи агрегатору сырых индивидуальных результатов измерений. Подобная практика не только повышает риски утечки конфиденциальной информации, но и может вступать в противоречие с политикой локальных этических комитетов или коммерческими интересами лабораторий, рассматривающих свои аналитические методики как охраняемую тайну. Аналогичные вызовы характерны и для сферы межлабораторных сравнительных испытаний (МСИ) и программ внешней оценки качества, являющихся обязательным элементом системы обеспечения качества согласно современным критериям аккредитации [Руководство по проведению оценки соответствия провайдеров межлабораторных сличительных испытаний критериям аккредитации, версия 01.3, ноябрь 2024, СМ N 03.1-1.0019; Рекомендации по аккредитации Р 50.4.006-2002 «Межлабораторные сравнительные испытания при аккредитации и инспекционном контроле испытательных лабораторий», п. 4.13]. Традиционная модель МСИ подразумевает передачу первичных результатов внешнему провайдеру, что создает риски разглашения врачебной тайны и затрудняет взаимодействие с международными организаторами.</w:t>
      </w:r>
    </w:p>
    <w:p>
      <w:r>
        <w:t xml:space="preserve">Существующие подходы к организации подобных исследований базируются на безусловном доверии к центральному агрегатору, получающему полный доступ к массивам данных. Такая архитектура обусловлена необходимостью статистической обработки, которая классически предполагает наличие всех индивидуальных значений. Тем не менее, для ряда статистических процедур, таких как расчет t-критерия Стьюдента или модифицированного критерия Уэлча [Welch B.L., Biometrika, 1947, vol. 34, no. 1-2, p. 28–35], достаточно обладать ограниченным набором агрегированных показателей: средними </w:t>
      </w:r>
      <w:r>
        <w:lastRenderedPageBreak/>
        <w:t>арифметическими, суммами квадратов отклонений и объемами выборок. Переход к использованию этих дескриптивных статистик позволяет радикально упростить соблюдение требований по защите персональных данных, однако сам по себе не гарантирует достоверности вывода. Агрегатор должен иметь инструменты подтверждения того, что предоставленные числа корректно вычислены на основе реальных первичных данных, а не являются результатом фальсификации или технической ошибки.</w:t>
      </w:r>
    </w:p>
    <w:p>
      <w:r>
        <w:t>Решение задачи верификации данных без их раскрытия лежит в плоскости криптографических протоколов доказательства с нулевым разглашением (Zero-Knowledge Proofs, ZKP). В частности, семейство протоколов zk-STARK (Zero-Knowledge Scalable Transparent Argument of Knowledge) [Ben-Sasson E. et al., IACR Cryptology ePrint Archive, 2018, Report 2018/046] обеспечивает вычислительную целостность, обладая при этом постквантовой стойкостью и высокой масштабируемостью. Использование zk-STARK позволяет каждой лаборатории генерировать математическое доказательство того, что её агрегированные статистики вычислены корректно. Верификатор (агрегатор) может подтвердить истинность этих расчетов за полилогарифмическое время, не получая доступа к исходным измерениям, что обеспечивает математическую гарантию достоверности входных данных при сохранении их полной конфиденциальности.</w:t>
      </w:r>
    </w:p>
    <w:p>
      <w:r>
        <w:t>Несмотря на эффективность описанной схемы для параметрических методов, в клинической практике распределение биомаркеров часто не соответствует нормальному закону, что требует применения непараметрических критериев. Наиболее распространенный критерий Вилкоксона–Манна–Уитни сложно адаптировать к протоколам с нулевым разглашением, так как он основан на ранжировании объединенной выборки, требующем либо раскрытия всех значений, либо организации сложного многостороннего вычисления. В качестве альтернативы, совместимой с ограничениями на передачу данных, в данной работе рассматривается медианный тест Муда [Mood A.M., Introduction to the Theory of Statistics, 1950, p. 394–398]. В классической реализации данный тест предполагает использование общей медианы в качестве порога для построения таблицы сопряженности 2×2, что в условиях распределенных вычислений требует итерационного поиска.</w:t>
      </w:r>
    </w:p>
    <w:p>
      <w:r>
        <w:t>Для оптимизации вычислительного процесса и сохранения конфиденциальности в настоящем исследовании предлагается использование упрощенного порога, определяемого как среднее арифметическое выборочных медиан участвующих групп. Такая аппроксимация позволяет лабораториям независимо вычислять количество значений, превышающих порог, и передавать агрегатору только эти счетчики вместе с объемами выборок. Данный подход позволяет агрегатору вычислить точный p-уровень значимости по двустороннему критерию Фишера</w:t>
      </w:r>
      <w:r>
        <w:rPr>
          <w:lang w:val="en-US"/>
        </w:rPr>
        <w:t xml:space="preserve"> [Fisher R.A., Statistical Methods for Research Workers, 1925], </w:t>
      </w:r>
      <w:r>
        <w:t>не</w:t>
      </w:r>
      <w:r>
        <w:rPr>
          <w:lang w:val="en-US"/>
        </w:rPr>
        <w:t xml:space="preserve"> </w:t>
      </w:r>
      <w:r>
        <w:t>имея</w:t>
      </w:r>
      <w:r>
        <w:rPr>
          <w:lang w:val="en-US"/>
        </w:rPr>
        <w:t xml:space="preserve"> </w:t>
      </w:r>
      <w:r>
        <w:t>доступа</w:t>
      </w:r>
      <w:r>
        <w:rPr>
          <w:lang w:val="en-US"/>
        </w:rPr>
        <w:t xml:space="preserve"> </w:t>
      </w:r>
      <w:r>
        <w:t>к</w:t>
      </w:r>
      <w:r>
        <w:rPr>
          <w:lang w:val="en-US"/>
        </w:rPr>
        <w:t xml:space="preserve"> </w:t>
      </w:r>
      <w:r>
        <w:t>индивидуальным</w:t>
      </w:r>
      <w:r>
        <w:rPr>
          <w:lang w:val="en-US"/>
        </w:rPr>
        <w:t xml:space="preserve"> </w:t>
      </w:r>
      <w:r>
        <w:t>данным</w:t>
      </w:r>
      <w:r>
        <w:rPr>
          <w:lang w:val="en-US"/>
        </w:rPr>
        <w:t xml:space="preserve">. </w:t>
      </w:r>
      <w:r>
        <w:t>При этом использование протокола zk-STARK гарантирует, что все переданные компоненты – от выборочных медиан до W-статистики критерия Шапиро–Уилка [Shapiro S.S., Wilk M.B., 1965] и итоговых счетчиков – вычислены строго по исходным данным.</w:t>
      </w:r>
    </w:p>
    <w:p>
      <w:r>
        <w:t>Таким образом, целью настоящей работы является разработка и валидация комплексного криптографического протокола на основе zk-STARK, позволяющего проводить достоверный непараметрический статистический анализ результатов двух лабораторий без трансграничной передачи и раскрытия первичных медицинских данных. Данный подход обеспечивает легальный и безопасный механизм формирования доказательной базы в многоцентровых исследованиях, минимизируя административные и этические риски.</w:t>
      </w:r>
    </w:p>
    <w:p/>
    <w:p/>
    <w:p/>
    <w:p>
      <w:pPr>
        <w:pStyle w:val="1"/>
      </w:pPr>
      <w:r>
        <w:lastRenderedPageBreak/>
        <w:t>Материалы и методы</w:t>
      </w:r>
    </w:p>
    <w:p>
      <w:r>
        <w:t>Разработанный протокол взаимодействия предполагает участие трех сторон: двух независимых лабораторий и центрального агрегатора (координатора). Основным принципом архитектуры является полное исключение передачи первичных данных пациентов (сырых результатов измерений) за пределы локальных информационных систем лабораторий. Процесс разделен на два последовательных раунда обмена данными, каждый из которых сопровождается генерацией криптографического доказательства целостности вычислений.</w:t>
      </w:r>
    </w:p>
    <w:p>
      <w:r>
        <w:t xml:space="preserve">В первом раунде каждая лаборатория в защищенной среде выполняет первичную обработку своих данных, вычисляя набор дескриптивных статистик: объем выборки, сумму значений, сумму квадратов значений, выборочную медиану, а также статистику критерия Шапиро–Уилка для оценки нормальности распределения. Полученные агрегаты передаются агрегатору. На основании полученных p-значений критерия Шапиро–Уилка агрегатор принимает решение о выборе метода статистического сравнения. Если в обеих группах распределение признано нормальным (при заданном уровне значимости </w:t>
      </w:r>
      <m:oMath>
        <m:r>
          <m:rPr>
            <m:sty m:val="p"/>
          </m:rPr>
          <w:rPr>
            <w:rFonts w:ascii="Cambria Math" w:hAnsi="Cambria Math"/>
          </w:rPr>
          <m:t>α</m:t>
        </m:r>
      </m:oMath>
      <w:r>
        <w:t xml:space="preserve">), выбирается параметрический критерий Уэлча. В противном случае протокол переходит к реализации непараметрического медианного теста Муда, для чего агрегатор вычисляет аппроксимированный порог </w:t>
      </w:r>
      <m:oMath>
        <m:acc>
          <m:accPr>
            <m:ctrlPr>
              <w:rPr>
                <w:rFonts w:ascii="Cambria Math" w:hAnsi="Cambria Math"/>
              </w:rPr>
            </m:ctrlPr>
          </m:accPr>
          <m:e>
            <m:r>
              <w:rPr>
                <w:rFonts w:ascii="Cambria Math" w:hAnsi="Cambria Math"/>
              </w:rPr>
              <m:t>M</m:t>
            </m:r>
          </m:e>
        </m:acc>
      </m:oMath>
      <w:r>
        <w:t xml:space="preserve"> как среднее арифметическое медиан двух групп.</w:t>
      </w:r>
    </w:p>
    <w:p>
      <w:r>
        <w:t xml:space="preserve">Второй раунд инициируется только в случае выбора теста Муда. Лаборатории получают от агрегатора значение порога </w:t>
      </w:r>
      <m:oMath>
        <m:acc>
          <m:accPr>
            <m:ctrlPr>
              <w:rPr>
                <w:rFonts w:ascii="Cambria Math" w:hAnsi="Cambria Math"/>
              </w:rPr>
            </m:ctrlPr>
          </m:accPr>
          <m:e>
            <m:r>
              <w:rPr>
                <w:rFonts w:ascii="Cambria Math" w:hAnsi="Cambria Math"/>
              </w:rPr>
              <m:t>M</m:t>
            </m:r>
          </m:e>
        </m:acc>
      </m:oMath>
      <w:r>
        <w:t xml:space="preserve"> и вычисляют количество наблюдений в своих выборках, превышающих данный порог. Эти счетчики передаются агрегатору для построения финальной таблицы сопряженности. Итоговый результат (p-уровень значимости) формируется агрегатором и сопровождается комплексным доказательством, подтверждающим, что все промежуточные этапы – от первичного суммирования до финального теста – выполнены строго по заданному алгоритму без искажения входных данных.</w:t>
      </w:r>
    </w:p>
    <w:p>
      <w:r>
        <w:t xml:space="preserve">Для параметрического сравнения используется t-критерий в модификации Уэлча, который не требует равенства дисперсий в группах. Расчет статистики </w:t>
      </w:r>
      <m:oMath>
        <m:r>
          <w:rPr>
            <w:rFonts w:ascii="Cambria Math" w:hAnsi="Cambria Math"/>
          </w:rPr>
          <m:t>t</m:t>
        </m:r>
      </m:oMath>
      <w:r>
        <w:t xml:space="preserve"> и степеней свободы по методу Саттертуэйта производится исключительно на основе суммарных статистик, предоставленных лабораториями в первом раунде. Вычисление двустороннего p-значения реализуется через расчет регулярной неполной бета-функции.</w:t>
      </w:r>
    </w:p>
    <w:p>
      <w:r>
        <w:t>Для непараметрического анализа выбран медианный тест Муда, который является асимптотически свободным от распределения. Статистический вывод базируется на построении таблицы сопряженности 2×2, где фиксируется число значений выше и ниже заданного порога в каждой группе. Для получения точного p-уровня значимости применяется двусторонний критерий Фишера, реализуемый через суммирование вероятностей гипергеометрического распределения для всех таблиц, не менее вероятных, чем наблюдаемая.</w:t>
      </w:r>
    </w:p>
    <w:p>
      <w:r>
        <w:t xml:space="preserve">Критическим методологическим допущением протокола является использование аппроксимированного порога </w:t>
      </w:r>
      <m:oMath>
        <m:acc>
          <m:accPr>
            <m:ctrlPr>
              <w:rPr>
                <w:rFonts w:ascii="Cambria Math" w:hAnsi="Cambria Math"/>
              </w:rPr>
            </m:ctrlPr>
          </m:accPr>
          <m:e>
            <m:r>
              <w:rPr>
                <w:rFonts w:ascii="Cambria Math" w:hAnsi="Cambria Math"/>
              </w:rPr>
              <m:t>M</m:t>
            </m:r>
          </m:e>
        </m:acc>
        <m:r>
          <w:rPr>
            <w:rFonts w:ascii="Cambria Math" w:hAnsi="Cambria Math"/>
          </w:rPr>
          <m:t>=</m:t>
        </m:r>
        <m:d>
          <m:dPr>
            <m:ctrlPr>
              <w:rPr>
                <w:rFonts w:ascii="Cambria Math" w:hAnsi="Cambria Math"/>
                <w:i/>
              </w:rPr>
            </m:ctrlPr>
          </m:dPr>
          <m:e>
            <m:r>
              <w:rPr>
                <w:rFonts w:ascii="Cambria Math" w:hAnsi="Cambria Math"/>
              </w:rPr>
              <m:t>me</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+me</m:t>
            </m:r>
            <m:sSub>
              <m:sSubPr>
                <m:ctrlPr>
                  <w:rPr>
                    <w:rFonts w:ascii="Cambria Math" w:hAnsi="Cambria Math"/>
                    <w:i/>
                  </w:rPr>
                </m:ctrlPr>
              </m:sSubPr>
              <m:e>
                <m:r>
                  <w:rPr>
                    <w:rFonts w:ascii="Cambria Math" w:hAnsi="Cambria Math"/>
                  </w:rPr>
                  <m:t>d</m:t>
                </m:r>
              </m:e>
              <m:sub>
                <m:r>
                  <w:rPr>
                    <w:rFonts w:ascii="Cambria Math" w:hAnsi="Cambria Math"/>
                  </w:rPr>
                  <m:t>2</m:t>
                </m:r>
              </m:sub>
            </m:sSub>
          </m:e>
        </m:d>
        <m:r>
          <m:rPr>
            <m:lit/>
          </m:rPr>
          <w:rPr>
            <w:rFonts w:ascii="Cambria Math" w:hAnsi="Cambria Math"/>
          </w:rPr>
          <m:t>/</m:t>
        </m:r>
        <m:r>
          <w:rPr>
            <w:rFonts w:ascii="Cambria Math" w:hAnsi="Cambria Math"/>
          </w:rPr>
          <m:t>2</m:t>
        </m:r>
      </m:oMath>
      <w:r>
        <w:t xml:space="preserve"> вместо истинной объединенной медианы. Данный компромисс является осознанным решением, позволяющим сохранить конфиденциальность данных и избежать многократных интерактивных процедур обмена информацией. Такая аппроксимация обеспечивает высокую статистическую мощность в сценариях с симметричными распределениями и сохраняет надежность вывода при умеренной асимметрии, позволяя проводить децентрализованный подсчет частот независимо в каждой лаборатории.</w:t>
      </w:r>
    </w:p>
    <w:p>
      <w:r>
        <w:t>Техническая реализация протокола выполнена с использованием виртуальной машины доказательств с нулевым разглашением Risc Zero zkVM. Данная среда позволяет исполнять произвольный код на языке Rust и генерировать zk-STARK-доказательства (</w:t>
      </w:r>
      <m:oMath>
        <m:r>
          <w:rPr>
            <w:rFonts w:ascii="Cambria Math" w:hAnsi="Cambria Math"/>
            <w:lang w:val="en-US"/>
          </w:rPr>
          <m:t>receipts</m:t>
        </m:r>
      </m:oMath>
      <w:r>
        <w:t xml:space="preserve">), подтверждающие корректность выполнения программы. Протокол организован как иерархическая композиция доказательств: агрегатор внутри своей гостевой среды </w:t>
      </w:r>
      <w:r>
        <w:lastRenderedPageBreak/>
        <w:t>верифицирует криптографические журналы (</w:t>
      </w:r>
      <m:oMath>
        <m:r>
          <w:rPr>
            <w:rFonts w:ascii="Cambria Math" w:hAnsi="Cambria Math"/>
          </w:rPr>
          <m:t>journals</m:t>
        </m:r>
      </m:oMath>
      <w:r>
        <w:t>), полученные от лабораторий, и сопоставляет их содержимое с входными параметрами текущего раунда.</w:t>
      </w:r>
    </w:p>
    <w:p>
      <w:r>
        <w:t>Итоговое доказательство, публикуемое агрегатором, считается достоверным только в том случае, если верны все шесть вложенных лабораторных доказательств, а их журналы (содержащие промежуточные статистики) математически согласованы. Система поддерживает два режима работы: режим симуляции для отладки и полнофункциональный режим для генерации реальных STARK-доказательств, обеспечивающих постквантовую стойкость и математическую гарантию невозможности фальсификации результатов со стороны любой из участвующих лабораторий или самого агрегатора.</w:t>
      </w:r>
    </w:p>
    <w:p>
      <w:r>
        <w:t xml:space="preserve">Для верификации точности разработанного протокола была сформирована матрица из 20 сценариев, охватывающая широкий спектр клинических ситуаций. Тестовые наборы включали выборки с нормальным, логнормальным, гамма- и экспоненциальным распределениями, данные с тяжелыми хвостами (распределение Стьюдента с </w:t>
      </w:r>
      <m:oMath>
        <m:r>
          <w:rPr>
            <w:rFonts w:ascii="Cambria Math" w:hAnsi="Cambria Math"/>
          </w:rPr>
          <m:t>df=3</m:t>
        </m:r>
      </m:oMath>
      <w:r>
        <w:t>), бимодальные смеси, а также дискретные пуассоновы значения. В сценарии были включены как малые выборки (</w:t>
      </w:r>
      <m:oMath>
        <m:r>
          <w:rPr>
            <w:rFonts w:ascii="Cambria Math" w:hAnsi="Cambria Math"/>
          </w:rPr>
          <m:t>n=3</m:t>
        </m:r>
      </m:oMath>
      <w:r>
        <w:t>), находящиеся на границе применимости критерия Шапиро–Уилка, так и крупные массивы (</w:t>
      </w:r>
      <m:oMath>
        <m:r>
          <w:rPr>
            <w:rFonts w:ascii="Cambria Math" w:hAnsi="Cambria Math"/>
          </w:rPr>
          <m:t>n=1000</m:t>
        </m:r>
      </m:oMath>
      <w:r>
        <w:t>) для оценки производительности.</w:t>
      </w:r>
    </w:p>
    <w:p>
      <w:r>
        <w:t xml:space="preserve">В качестве эталона сравнения использовалась среда статистических вычислений R версии 4.3.1. Для каждого сценария программно вычислялись референтные значения статистик Шапиро–Уилка, Уэлча и точного теста Фишера. Критерием успешной валидации протокола считалось достижение абсолютной погрешности не более </w:t>
      </w:r>
      <m:oMath>
        <m:sSup>
          <m:sSupPr>
            <m:ctrlPr>
              <w:rPr>
                <w:rFonts w:ascii="Cambria Math" w:hAnsi="Cambria Math"/>
                <w:i/>
              </w:rPr>
            </m:ctrlPr>
          </m:sSupPr>
          <m:e>
            <m:r>
              <w:rPr>
                <w:rFonts w:ascii="Cambria Math" w:hAnsi="Cambria Math"/>
              </w:rPr>
              <m:t>10</m:t>
            </m:r>
          </m:e>
          <m:sup>
            <m:r>
              <w:rPr>
                <w:rFonts w:ascii="Cambria Math" w:hAnsi="Cambria Math"/>
              </w:rPr>
              <m:t>-9</m:t>
            </m:r>
          </m:sup>
        </m:sSup>
      </m:oMath>
      <w:r>
        <w:t xml:space="preserve"> по отношению к эталонным значениям R. Отдельным сценарием (n15) тестировалась устойчивость системы к вырожденным данным (константная группа), где ожидаемое падение критерия Шапиро–Уилка корректно обрабатывалось протоколом как исключительная ситуация.</w:t>
      </w:r>
    </w:p>
    <w:p>
      <w:r>
        <w:t xml:space="preserve">Разработка и запуск всех компонентов системы осуществлялись в среде WSL2 на базе дистрибутива Ubuntu. Основным языком программирования выбран Rust ввиду его высокой производительности и нативной поддержки инструментарием Risc Zero (инструмент управления `rzup`). Для обеспечения воспроизводимости исследований генерация эталонных значений проводилась с помощью скриптов на языке R с жесткой фиксацией генератора псевдослучайных чисел (`set.seed`). Вычислительные эксперименты подтвердили, что наблюдаемые погрешности при расчете p-значений во всех сценариях не превышают </w:t>
      </w:r>
      <m:oMath>
        <m:r>
          <w:rPr>
            <w:rFonts w:ascii="Cambria Math" w:hAnsi="Cambria Math"/>
          </w:rPr>
          <m:t>2</m:t>
        </m:r>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-12</m:t>
            </m:r>
          </m:sup>
        </m:sSup>
      </m:oMath>
      <w:r>
        <w:t>, что значительно превосходит точность, необходимую для принятия клинических решений.</w:t>
      </w:r>
    </w:p>
    <w:p>
      <w:pPr>
        <w:pStyle w:val="1"/>
      </w:pPr>
      <w:r>
        <w:t>Результаты</w:t>
      </w:r>
    </w:p>
    <w:p>
      <w:r>
        <w:t>Валидация разработанного протокола проводилась путем сопоставления результатов, полученных в среде zkVM, с эталонными значениями программного пакета R. На матрице из 20 сценариев (таблица</w:t>
      </w:r>
      <w:r>
        <w:fldChar w:fldCharType="begin"/>
      </w:r>
      <w:r>
        <w:instrText xml:space="preserve"> REF _Ref239677565 \h \##</w:instrText>
      </w:r>
      <w:r>
        <w:fldChar w:fldCharType="separate"/>
      </w:r>
      <w:r>
        <w:t xml:space="preserve"> 1</w:t>
      </w:r>
      <w:r>
        <w:fldChar w:fldCharType="end"/>
      </w:r>
      <w:r>
        <w:t xml:space="preserve">) была достигнута высокая прецизионность расчетов. Максимальная относительная ошибка для всех ключевых статистик – включая p-значения критериев Шапиро–Уилка, Уэлча и точного теста Фишера – не превысила </w:t>
      </w:r>
      <m:oMath>
        <m:r>
          <w:rPr>
            <w:rFonts w:ascii="Cambria Math" w:hAnsi="Cambria Math"/>
          </w:rPr>
          <m:t>1,8</m:t>
        </m:r>
        <m:r>
          <m:rPr>
            <m:sty m:val="p"/>
          </m:rPr>
          <w:rPr>
            <w:rFonts w:ascii="Cambria Math" w:hAnsi="Cambria Math"/>
          </w:rPr>
          <m:t>×</m:t>
        </m:r>
        <m:sSup>
          <m:sSupPr>
            <m:ctrlPr>
              <w:rPr>
                <w:rFonts w:ascii="Cambria Math" w:hAnsi="Cambria Math"/>
                <w:i/>
              </w:rPr>
            </m:ctrlPr>
          </m:sSupPr>
          <m:e>
            <m:r>
              <w:rPr>
                <w:rFonts w:ascii="Cambria Math" w:hAnsi="Cambria Math"/>
              </w:rPr>
              <m:t>10</m:t>
            </m:r>
            <m:ctrlPr>
              <w:rPr>
                <w:rFonts w:ascii="Cambria Math" w:hAnsi="Cambria Math"/>
              </w:rPr>
            </m:ctrlPr>
          </m:e>
          <m:sup>
            <m:r>
              <w:rPr>
                <w:rFonts w:ascii="Cambria Math" w:hAnsi="Cambria Math"/>
              </w:rPr>
              <m:t>-12</m:t>
            </m:r>
          </m:sup>
        </m:sSup>
      </m:oMath>
      <w:r>
        <w:t xml:space="preserve">. В большинстве случаев отклонение находилось в пределах </w:t>
      </w:r>
      <m:oMath>
        <m:sSup>
          <m:sSupPr>
            <m:ctrlPr>
              <w:rPr>
                <w:rFonts w:ascii="Cambria Math" w:hAnsi="Cambria Math"/>
                <w:i/>
              </w:rPr>
            </m:ctrlPr>
          </m:sSupPr>
          <m:e>
            <m:r>
              <w:rPr>
                <w:rFonts w:ascii="Cambria Math" w:hAnsi="Cambria Math"/>
              </w:rPr>
              <m:t>10</m:t>
            </m:r>
          </m:e>
          <m:sup>
            <m:r>
              <w:rPr>
                <w:rFonts w:ascii="Cambria Math" w:hAnsi="Cambria Math"/>
              </w:rPr>
              <m:t>-14</m:t>
            </m:r>
          </m:sup>
        </m:sSup>
      </m:oMath>
      <w:r>
        <w:t>. С точки зрения клинической лабораторной практики такая погрешность является пренебрежимо малой и не оказывает влияния на интерпретацию результатов исследования.</w:t>
      </w:r>
    </w:p>
    <w:p>
      <w:pPr>
        <w:pStyle w:val="af6"/>
      </w:pPr>
      <w:bookmarkStart w:id="0" w:name="_Ref239677565"/>
      <w:r>
        <w:t xml:space="preserve">Таблица </w:t>
      </w:r>
      <w:r>
        <w:fldChar w:fldCharType="begin"/>
      </w:r>
      <w:r>
        <w:instrText xml:space="preserve"> SEQ Таблица \* ARABIC </w:instrText>
      </w:r>
      <w:r>
        <w:fldChar w:fldCharType="separate"/>
      </w:r>
      <w:r>
        <w:rPr>
          <w:noProof/>
        </w:rPr>
        <w:t>1</w:t>
      </w:r>
      <w:r>
        <w:fldChar w:fldCharType="end"/>
      </w:r>
      <w:bookmarkEnd w:id="0"/>
      <w:r>
        <w:t>. Результаты валидации протокола на тестовых сценариях (режим симуляции)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562"/>
        <w:gridCol w:w="2977"/>
        <w:gridCol w:w="1418"/>
        <w:gridCol w:w="1842"/>
        <w:gridCol w:w="993"/>
        <w:gridCol w:w="1553"/>
      </w:tblGrid>
      <w:tr>
        <w:tc>
          <w:tcPr>
            <w:tcW w:w="562" w:type="dxa"/>
            <w:shd w:val="clear" w:color="auto" w:fill="auto"/>
            <w:noWrap/>
            <w:vAlign w:val="center"/>
            <w:hideMark/>
          </w:tcPr>
          <w:p>
            <w:pPr>
              <w:ind w:firstLine="0"/>
              <w:jc w:val="center"/>
              <w:rPr>
                <w:rFonts w:eastAsia="Times New Roman"/>
                <w:b/>
                <w:bCs/>
                <w:color w:val="000000"/>
                <w:szCs w:val="24"/>
                <w:lang w:eastAsia="ru-RU"/>
              </w:rPr>
            </w:pPr>
            <w:r>
              <w:rPr>
                <w:rFonts w:eastAsia="Times New Roman"/>
                <w:b/>
                <w:bCs/>
                <w:color w:val="000000"/>
                <w:szCs w:val="24"/>
                <w:lang w:val="en-US" w:eastAsia="ru-RU"/>
              </w:rPr>
              <w:t>ID</w:t>
            </w:r>
          </w:p>
        </w:tc>
        <w:tc>
          <w:tcPr>
            <w:tcW w:w="2977" w:type="dxa"/>
            <w:shd w:val="clear" w:color="auto" w:fill="auto"/>
            <w:noWrap/>
            <w:vAlign w:val="center"/>
            <w:hideMark/>
          </w:tcPr>
          <w:p>
            <w:pPr>
              <w:ind w:firstLine="0"/>
              <w:jc w:val="center"/>
              <w:rPr>
                <w:rFonts w:eastAsia="Times New Roman"/>
                <w:b/>
                <w:bCs/>
                <w:color w:val="000000"/>
                <w:szCs w:val="24"/>
                <w:lang w:eastAsia="ru-RU"/>
              </w:rPr>
            </w:pPr>
            <w:r>
              <w:rPr>
                <w:rFonts w:eastAsia="Times New Roman"/>
                <w:b/>
                <w:bCs/>
                <w:color w:val="000000"/>
                <w:szCs w:val="24"/>
                <w:lang w:eastAsia="ru-RU"/>
              </w:rPr>
              <w:t>Описание</w:t>
            </w:r>
          </w:p>
        </w:tc>
        <w:tc>
          <w:tcPr>
            <w:tcW w:w="1418" w:type="dxa"/>
            <w:shd w:val="clear" w:color="auto" w:fill="auto"/>
            <w:noWrap/>
            <w:vAlign w:val="center"/>
            <w:hideMark/>
          </w:tcPr>
          <w:p>
            <w:pPr>
              <w:ind w:firstLine="0"/>
              <w:jc w:val="center"/>
              <w:rPr>
                <w:rFonts w:eastAsia="Times New Roman"/>
                <w:b/>
                <w:bCs/>
                <w:color w:val="000000"/>
                <w:szCs w:val="24"/>
                <w:lang w:eastAsia="ru-RU"/>
              </w:rPr>
            </w:pPr>
            <w:r>
              <w:rPr>
                <w:rFonts w:eastAsia="Times New Roman"/>
                <w:b/>
                <w:bCs/>
                <w:color w:val="000000"/>
                <w:szCs w:val="24"/>
                <w:lang w:eastAsia="ru-RU"/>
              </w:rPr>
              <w:t>p (критерий)</w:t>
            </w:r>
          </w:p>
        </w:tc>
        <w:tc>
          <w:tcPr>
            <w:tcW w:w="1842" w:type="dxa"/>
            <w:shd w:val="clear" w:color="auto" w:fill="auto"/>
            <w:noWrap/>
            <w:vAlign w:val="center"/>
            <w:hideMark/>
          </w:tcPr>
          <w:p>
            <w:pPr>
              <w:ind w:firstLine="0"/>
              <w:jc w:val="center"/>
              <w:rPr>
                <w:rFonts w:eastAsia="Times New Roman"/>
                <w:b/>
                <w:bCs/>
                <w:color w:val="000000"/>
                <w:szCs w:val="24"/>
                <w:lang w:eastAsia="ru-RU"/>
              </w:rPr>
            </w:pPr>
            <w:r>
              <w:rPr>
                <w:rFonts w:eastAsia="Times New Roman"/>
                <w:b/>
                <w:bCs/>
                <w:color w:val="000000"/>
                <w:szCs w:val="24"/>
                <w:lang w:eastAsia="ru-RU"/>
              </w:rPr>
              <w:t xml:space="preserve">Максимальная относительная ошибка </w:t>
            </w:r>
          </w:p>
        </w:tc>
        <w:tc>
          <w:tcPr>
            <w:tcW w:w="993" w:type="dxa"/>
            <w:shd w:val="clear" w:color="auto" w:fill="auto"/>
            <w:noWrap/>
            <w:vAlign w:val="center"/>
            <w:hideMark/>
          </w:tcPr>
          <w:p>
            <w:pPr>
              <w:ind w:firstLine="0"/>
              <w:jc w:val="center"/>
              <w:rPr>
                <w:rFonts w:eastAsia="Times New Roman"/>
                <w:b/>
                <w:bCs/>
                <w:color w:val="000000"/>
                <w:szCs w:val="24"/>
                <w:lang w:eastAsia="ru-RU"/>
              </w:rPr>
            </w:pPr>
            <w:r>
              <w:rPr>
                <w:rFonts w:eastAsia="Times New Roman"/>
                <w:b/>
                <w:bCs/>
                <w:color w:val="000000"/>
                <w:szCs w:val="24"/>
                <w:lang w:eastAsia="ru-RU"/>
              </w:rPr>
              <w:t>Время, с</w:t>
            </w:r>
          </w:p>
        </w:tc>
        <w:tc>
          <w:tcPr>
            <w:tcW w:w="1553" w:type="dxa"/>
            <w:shd w:val="clear" w:color="auto" w:fill="auto"/>
            <w:noWrap/>
            <w:vAlign w:val="center"/>
            <w:hideMark/>
          </w:tcPr>
          <w:p>
            <w:pPr>
              <w:ind w:firstLine="0"/>
              <w:jc w:val="center"/>
              <w:rPr>
                <w:rFonts w:eastAsia="Times New Roman"/>
                <w:b/>
                <w:bCs/>
                <w:color w:val="000000"/>
                <w:szCs w:val="24"/>
                <w:lang w:eastAsia="ru-RU"/>
              </w:rPr>
            </w:pPr>
            <w:r>
              <w:rPr>
                <w:rFonts w:eastAsia="Times New Roman"/>
                <w:b/>
                <w:bCs/>
                <w:color w:val="000000"/>
                <w:szCs w:val="24"/>
                <w:lang w:eastAsia="ru-RU"/>
              </w:rPr>
              <w:t>Циклы</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n01</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Нормальные, равные (30/25)</w:t>
            </w:r>
          </w:p>
        </w:tc>
        <w:tc>
          <w:tcPr>
            <w:tcW w:w="1418" w:type="dxa"/>
            <w:shd w:val="clear" w:color="auto" w:fill="auto"/>
            <w:noWrap/>
            <w:vAlign w:val="center"/>
            <w:hideMark/>
          </w:tcPr>
          <w:p>
            <w:pPr>
              <w:ind w:firstLine="0"/>
              <w:jc w:val="center"/>
              <w:rPr>
                <w:rFonts w:eastAsia="Times New Roman"/>
                <w:color w:val="000000"/>
                <w:szCs w:val="24"/>
                <w:lang w:val="en-US" w:eastAsia="ru-RU"/>
              </w:rPr>
            </w:pPr>
            <w:r>
              <w:rPr>
                <w:rFonts w:eastAsia="Times New Roman"/>
                <w:color w:val="000000"/>
                <w:szCs w:val="24"/>
                <w:lang w:eastAsia="ru-RU"/>
              </w:rPr>
              <w:t xml:space="preserve">0.24 </w:t>
            </w:r>
            <w:r>
              <w:rPr>
                <w:rFonts w:eastAsia="Times New Roman"/>
                <w:color w:val="000000"/>
                <w:szCs w:val="24"/>
                <w:lang w:val="en-US" w:eastAsia="ru-RU"/>
              </w:rPr>
              <w:t>(W)</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8.40</w:t>
            </w:r>
            <w:r>
              <w:rPr>
                <w:szCs w:val="24"/>
                <w:lang w:eastAsia="ru-RU"/>
              </w:rPr>
              <w:t>×10</w:t>
            </w:r>
            <w:r>
              <w:rPr>
                <w:szCs w:val="24"/>
                <w:vertAlign w:val="superscript"/>
                <w:lang w:eastAsia="ru-RU"/>
              </w:rPr>
              <w:t>-14</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0.4</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1 441 792</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n02</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Нормальные, смещение среднего (8/8)</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0.765</w:t>
            </w:r>
            <w:r>
              <w:rPr>
                <w:rFonts w:eastAsia="Times New Roman"/>
                <w:color w:val="000000"/>
                <w:szCs w:val="24"/>
                <w:lang w:eastAsia="ru-RU"/>
              </w:rPr>
              <w:t xml:space="preserve"> </w:t>
            </w:r>
            <w:r>
              <w:rPr>
                <w:rFonts w:eastAsia="Times New Roman"/>
                <w:color w:val="000000"/>
                <w:szCs w:val="24"/>
                <w:lang w:val="en-US" w:eastAsia="ru-RU"/>
              </w:rPr>
              <w:t>(W)</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1.50</w:t>
            </w:r>
            <w:r>
              <w:rPr>
                <w:szCs w:val="24"/>
                <w:lang w:eastAsia="ru-RU"/>
              </w:rPr>
              <w:t>×10</w:t>
            </w:r>
            <w:r>
              <w:rPr>
                <w:szCs w:val="24"/>
                <w:vertAlign w:val="superscript"/>
                <w:lang w:eastAsia="ru-RU"/>
              </w:rPr>
              <w:t>-14</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0.31</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917 504</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lastRenderedPageBreak/>
              <w:t>n03</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Нормальные, неравные дисперсии (60/60)</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0.014</w:t>
            </w:r>
            <w:r>
              <w:rPr>
                <w:rFonts w:eastAsia="Times New Roman"/>
                <w:color w:val="000000"/>
                <w:szCs w:val="24"/>
                <w:lang w:eastAsia="ru-RU"/>
              </w:rPr>
              <w:t xml:space="preserve"> </w:t>
            </w:r>
            <w:r>
              <w:rPr>
                <w:rFonts w:eastAsia="Times New Roman"/>
                <w:color w:val="000000"/>
                <w:szCs w:val="24"/>
                <w:lang w:val="en-US" w:eastAsia="ru-RU"/>
              </w:rPr>
              <w:t>(W)</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5.30</w:t>
            </w:r>
            <w:r>
              <w:rPr>
                <w:szCs w:val="24"/>
                <w:lang w:eastAsia="ru-RU"/>
              </w:rPr>
              <w:t>×10</w:t>
            </w:r>
            <w:r>
              <w:rPr>
                <w:szCs w:val="24"/>
                <w:vertAlign w:val="superscript"/>
                <w:lang w:eastAsia="ru-RU"/>
              </w:rPr>
              <w:t>-14</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0.38</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2 490 368</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n04</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Нормальные, неравные n (200/30)</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0.3</w:t>
            </w:r>
            <w:r>
              <w:rPr>
                <w:rFonts w:eastAsia="Times New Roman"/>
                <w:color w:val="000000"/>
                <w:szCs w:val="24"/>
                <w:lang w:eastAsia="ru-RU"/>
              </w:rPr>
              <w:t xml:space="preserve"> </w:t>
            </w:r>
            <w:r>
              <w:rPr>
                <w:rFonts w:eastAsia="Times New Roman"/>
                <w:color w:val="000000"/>
                <w:szCs w:val="24"/>
                <w:lang w:val="en-US" w:eastAsia="ru-RU"/>
              </w:rPr>
              <w:t>(W)</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2.60</w:t>
            </w:r>
            <w:r>
              <w:rPr>
                <w:szCs w:val="24"/>
                <w:lang w:eastAsia="ru-RU"/>
              </w:rPr>
              <w:t>×10</w:t>
            </w:r>
            <w:r>
              <w:rPr>
                <w:szCs w:val="24"/>
                <w:vertAlign w:val="superscript"/>
                <w:lang w:eastAsia="ru-RU"/>
              </w:rPr>
              <w:t>-1</w:t>
            </w:r>
            <w:r>
              <w:rPr>
                <w:szCs w:val="24"/>
                <w:vertAlign w:val="superscript"/>
                <w:lang w:eastAsia="ru-RU"/>
              </w:rPr>
              <w:t>3</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0.42</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3 407 872</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n05</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Нормальные, n = 3/4</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0.241</w:t>
            </w:r>
            <w:r>
              <w:rPr>
                <w:rFonts w:eastAsia="Times New Roman"/>
                <w:color w:val="000000"/>
                <w:szCs w:val="24"/>
                <w:lang w:eastAsia="ru-RU"/>
              </w:rPr>
              <w:t xml:space="preserve"> </w:t>
            </w:r>
            <w:r>
              <w:rPr>
                <w:rFonts w:eastAsia="Times New Roman"/>
                <w:color w:val="000000"/>
                <w:szCs w:val="24"/>
                <w:lang w:val="en-US" w:eastAsia="ru-RU"/>
              </w:rPr>
              <w:t>(W)</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1.20</w:t>
            </w:r>
            <w:r>
              <w:rPr>
                <w:szCs w:val="24"/>
                <w:lang w:eastAsia="ru-RU"/>
              </w:rPr>
              <w:t>×10</w:t>
            </w:r>
            <w:r>
              <w:rPr>
                <w:szCs w:val="24"/>
                <w:vertAlign w:val="superscript"/>
                <w:lang w:eastAsia="ru-RU"/>
              </w:rPr>
              <w:t>-14</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0.31</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786 432</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n06</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Логнормальные (40/40)</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4.90</w:t>
            </w:r>
            <w:r>
              <w:rPr>
                <w:szCs w:val="24"/>
                <w:lang w:eastAsia="ru-RU"/>
              </w:rPr>
              <w:t>×10</w:t>
            </w:r>
            <w:r>
              <w:rPr>
                <w:szCs w:val="24"/>
                <w:vertAlign w:val="superscript"/>
                <w:lang w:eastAsia="ru-RU"/>
              </w:rPr>
              <w:t>-</w:t>
            </w:r>
            <w:r>
              <w:rPr>
                <w:szCs w:val="24"/>
                <w:vertAlign w:val="superscript"/>
                <w:lang w:eastAsia="ru-RU"/>
              </w:rPr>
              <w:t>8</w:t>
            </w:r>
            <w:r>
              <w:rPr>
                <w:rFonts w:eastAsia="Times New Roman"/>
                <w:color w:val="000000"/>
                <w:szCs w:val="24"/>
                <w:lang w:val="en-US" w:eastAsia="ru-RU"/>
              </w:rPr>
              <w:t xml:space="preserve"> </w:t>
            </w:r>
            <w:r>
              <w:rPr>
                <w:rFonts w:eastAsia="Times New Roman"/>
                <w:color w:val="000000"/>
                <w:szCs w:val="24"/>
                <w:lang w:val="en-US" w:eastAsia="ru-RU"/>
              </w:rPr>
              <w:t>(M)</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6.10</w:t>
            </w:r>
            <w:r>
              <w:rPr>
                <w:szCs w:val="24"/>
                <w:lang w:eastAsia="ru-RU"/>
              </w:rPr>
              <w:t>×10</w:t>
            </w:r>
            <w:r>
              <w:rPr>
                <w:szCs w:val="24"/>
                <w:vertAlign w:val="superscript"/>
                <w:lang w:eastAsia="ru-RU"/>
              </w:rPr>
              <w:t>-14</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0.46</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4 849 664</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n07</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Гамма, shape = 2 (40/40)</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0.261</w:t>
            </w:r>
            <w:r>
              <w:rPr>
                <w:rFonts w:eastAsia="Times New Roman"/>
                <w:color w:val="000000"/>
                <w:szCs w:val="24"/>
                <w:lang w:eastAsia="ru-RU"/>
              </w:rPr>
              <w:t xml:space="preserve"> </w:t>
            </w:r>
            <w:r>
              <w:rPr>
                <w:rFonts w:eastAsia="Times New Roman"/>
                <w:color w:val="000000"/>
                <w:szCs w:val="24"/>
                <w:lang w:val="en-US" w:eastAsia="ru-RU"/>
              </w:rPr>
              <w:t>(M)</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6.90</w:t>
            </w:r>
            <w:r>
              <w:rPr>
                <w:szCs w:val="24"/>
                <w:lang w:eastAsia="ru-RU"/>
              </w:rPr>
              <w:t>×10</w:t>
            </w:r>
            <w:r>
              <w:rPr>
                <w:szCs w:val="24"/>
                <w:vertAlign w:val="superscript"/>
                <w:lang w:eastAsia="ru-RU"/>
              </w:rPr>
              <w:t>-14</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0.45</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5 373 952</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n08</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Экспоненциальные (50/50)</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0.069</w:t>
            </w:r>
            <w:r>
              <w:rPr>
                <w:rFonts w:eastAsia="Times New Roman"/>
                <w:color w:val="000000"/>
                <w:szCs w:val="24"/>
                <w:lang w:eastAsia="ru-RU"/>
              </w:rPr>
              <w:t xml:space="preserve"> </w:t>
            </w:r>
            <w:r>
              <w:rPr>
                <w:rFonts w:eastAsia="Times New Roman"/>
                <w:color w:val="000000"/>
                <w:szCs w:val="24"/>
                <w:lang w:val="en-US" w:eastAsia="ru-RU"/>
              </w:rPr>
              <w:t>(M)</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4.80</w:t>
            </w:r>
            <w:r>
              <w:rPr>
                <w:szCs w:val="24"/>
                <w:lang w:eastAsia="ru-RU"/>
              </w:rPr>
              <w:t>×10</w:t>
            </w:r>
            <w:r>
              <w:rPr>
                <w:szCs w:val="24"/>
                <w:vertAlign w:val="superscript"/>
                <w:lang w:eastAsia="ru-RU"/>
              </w:rPr>
              <w:t>-14</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0.52</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5 636 096</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n09</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Равномерные (35/35)</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0.008</w:t>
            </w:r>
            <w:r>
              <w:rPr>
                <w:rFonts w:eastAsia="Times New Roman"/>
                <w:color w:val="000000"/>
                <w:szCs w:val="24"/>
                <w:lang w:eastAsia="ru-RU"/>
              </w:rPr>
              <w:t xml:space="preserve"> </w:t>
            </w:r>
            <w:r>
              <w:rPr>
                <w:rFonts w:eastAsia="Times New Roman"/>
                <w:color w:val="000000"/>
                <w:szCs w:val="24"/>
                <w:lang w:val="en-US" w:eastAsia="ru-RU"/>
              </w:rPr>
              <w:t>(M)</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7.10</w:t>
            </w:r>
            <w:r>
              <w:rPr>
                <w:szCs w:val="24"/>
                <w:lang w:eastAsia="ru-RU"/>
              </w:rPr>
              <w:t>×10</w:t>
            </w:r>
            <w:r>
              <w:rPr>
                <w:szCs w:val="24"/>
                <w:vertAlign w:val="superscript"/>
                <w:lang w:eastAsia="ru-RU"/>
              </w:rPr>
              <w:t>-14</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0.47</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4 325 376</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n10</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t</w:t>
            </w:r>
            <w:r>
              <w:rPr>
                <w:rFonts w:eastAsia="Times New Roman"/>
                <w:color w:val="000000"/>
                <w:szCs w:val="24"/>
                <w:vertAlign w:val="subscript"/>
                <w:lang w:val="en-US" w:eastAsia="ru-RU"/>
              </w:rPr>
              <w:t>3</w:t>
            </w:r>
            <w:r>
              <w:rPr>
                <w:rFonts w:eastAsia="Times New Roman"/>
                <w:color w:val="000000"/>
                <w:szCs w:val="24"/>
                <w:lang w:eastAsia="ru-RU"/>
              </w:rPr>
              <w:t>, тяжёлый хвост (45/45)</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0.003</w:t>
            </w:r>
            <w:r>
              <w:rPr>
                <w:rFonts w:eastAsia="Times New Roman"/>
                <w:color w:val="000000"/>
                <w:szCs w:val="24"/>
                <w:lang w:eastAsia="ru-RU"/>
              </w:rPr>
              <w:t xml:space="preserve"> </w:t>
            </w:r>
            <w:r>
              <w:rPr>
                <w:rFonts w:eastAsia="Times New Roman"/>
                <w:color w:val="000000"/>
                <w:szCs w:val="24"/>
                <w:lang w:val="en-US" w:eastAsia="ru-RU"/>
              </w:rPr>
              <w:t>(M)</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9.20</w:t>
            </w:r>
            <w:r>
              <w:rPr>
                <w:szCs w:val="24"/>
                <w:lang w:eastAsia="ru-RU"/>
              </w:rPr>
              <w:t>×10</w:t>
            </w:r>
            <w:r>
              <w:rPr>
                <w:szCs w:val="24"/>
                <w:vertAlign w:val="superscript"/>
                <w:lang w:eastAsia="ru-RU"/>
              </w:rPr>
              <w:t>-14</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0.5</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5 636 096</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n11</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Бимодальная смесь (40/40)</w:t>
            </w:r>
          </w:p>
        </w:tc>
        <w:tc>
          <w:tcPr>
            <w:tcW w:w="1418" w:type="dxa"/>
            <w:shd w:val="clear" w:color="auto" w:fill="auto"/>
            <w:noWrap/>
            <w:vAlign w:val="center"/>
            <w:hideMark/>
          </w:tcPr>
          <w:p>
            <w:pPr>
              <w:ind w:firstLine="0"/>
              <w:jc w:val="center"/>
              <w:rPr>
                <w:rFonts w:eastAsia="Times New Roman"/>
                <w:color w:val="000000"/>
                <w:szCs w:val="24"/>
                <w:lang w:val="en-US" w:eastAsia="ru-RU"/>
              </w:rPr>
            </w:pPr>
            <w:r>
              <w:rPr>
                <w:rFonts w:eastAsia="Times New Roman"/>
                <w:color w:val="000000"/>
                <w:szCs w:val="24"/>
                <w:lang w:eastAsia="ru-RU"/>
              </w:rPr>
              <w:t>1</w:t>
            </w:r>
            <w:r>
              <w:rPr>
                <w:rFonts w:eastAsia="Times New Roman"/>
                <w:color w:val="000000"/>
                <w:szCs w:val="24"/>
                <w:lang w:val="en-US" w:eastAsia="ru-RU"/>
              </w:rPr>
              <w:t>.000</w:t>
            </w:r>
            <w:r>
              <w:rPr>
                <w:rFonts w:eastAsia="Times New Roman"/>
                <w:color w:val="000000"/>
                <w:szCs w:val="24"/>
                <w:lang w:eastAsia="ru-RU"/>
              </w:rPr>
              <w:t xml:space="preserve"> </w:t>
            </w:r>
            <w:r>
              <w:rPr>
                <w:rFonts w:eastAsia="Times New Roman"/>
                <w:color w:val="000000"/>
                <w:szCs w:val="24"/>
                <w:lang w:val="en-US" w:eastAsia="ru-RU"/>
              </w:rPr>
              <w:t>(M)</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5.10</w:t>
            </w:r>
            <w:r>
              <w:rPr>
                <w:szCs w:val="24"/>
                <w:lang w:eastAsia="ru-RU"/>
              </w:rPr>
              <w:t>×10</w:t>
            </w:r>
            <w:r>
              <w:rPr>
                <w:szCs w:val="24"/>
                <w:vertAlign w:val="superscript"/>
                <w:lang w:eastAsia="ru-RU"/>
              </w:rPr>
              <w:t>-14</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0.46</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5 373 952</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n12</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Дискретные 1:5 (50/50)</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0.838</w:t>
            </w:r>
            <w:r>
              <w:rPr>
                <w:rFonts w:eastAsia="Times New Roman"/>
                <w:color w:val="000000"/>
                <w:szCs w:val="24"/>
                <w:lang w:eastAsia="ru-RU"/>
              </w:rPr>
              <w:t xml:space="preserve"> </w:t>
            </w:r>
            <w:r>
              <w:rPr>
                <w:rFonts w:eastAsia="Times New Roman"/>
                <w:color w:val="000000"/>
                <w:szCs w:val="24"/>
                <w:lang w:val="en-US" w:eastAsia="ru-RU"/>
              </w:rPr>
              <w:t>(M)</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8.30</w:t>
            </w:r>
            <w:r>
              <w:rPr>
                <w:szCs w:val="24"/>
                <w:lang w:eastAsia="ru-RU"/>
              </w:rPr>
              <w:t>×10</w:t>
            </w:r>
            <w:r>
              <w:rPr>
                <w:szCs w:val="24"/>
                <w:vertAlign w:val="superscript"/>
                <w:lang w:eastAsia="ru-RU"/>
              </w:rPr>
              <w:t>-1</w:t>
            </w:r>
            <w:r>
              <w:rPr>
                <w:szCs w:val="24"/>
                <w:vertAlign w:val="superscript"/>
                <w:lang w:eastAsia="ru-RU"/>
              </w:rPr>
              <w:t>5</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0.5</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5 373 952</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n13</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Крупные нормальные (1000/1000)</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4.00</w:t>
            </w:r>
            <w:r>
              <w:rPr>
                <w:szCs w:val="24"/>
                <w:lang w:eastAsia="ru-RU"/>
              </w:rPr>
              <w:t>×10</w:t>
            </w:r>
            <w:r>
              <w:rPr>
                <w:szCs w:val="24"/>
                <w:vertAlign w:val="superscript"/>
                <w:lang w:eastAsia="ru-RU"/>
              </w:rPr>
              <w:t>-</w:t>
            </w:r>
            <w:r>
              <w:rPr>
                <w:szCs w:val="24"/>
                <w:vertAlign w:val="superscript"/>
                <w:lang w:eastAsia="ru-RU"/>
              </w:rPr>
              <w:t>13</w:t>
            </w:r>
            <w:r>
              <w:rPr>
                <w:rFonts w:eastAsia="Times New Roman"/>
                <w:color w:val="000000"/>
                <w:szCs w:val="24"/>
                <w:lang w:eastAsia="ru-RU"/>
              </w:rPr>
              <w:t xml:space="preserve"> </w:t>
            </w:r>
            <w:r>
              <w:rPr>
                <w:rFonts w:eastAsia="Times New Roman"/>
                <w:color w:val="000000"/>
                <w:szCs w:val="24"/>
                <w:lang w:val="en-US" w:eastAsia="ru-RU"/>
              </w:rPr>
              <w:t>(W)</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1.80</w:t>
            </w:r>
            <w:r>
              <w:rPr>
                <w:szCs w:val="24"/>
                <w:lang w:eastAsia="ru-RU"/>
              </w:rPr>
              <w:t>×10</w:t>
            </w:r>
            <w:r>
              <w:rPr>
                <w:szCs w:val="24"/>
                <w:vertAlign w:val="superscript"/>
                <w:lang w:eastAsia="ru-RU"/>
              </w:rPr>
              <w:t>-1</w:t>
            </w:r>
            <w:r>
              <w:rPr>
                <w:szCs w:val="24"/>
                <w:vertAlign w:val="superscript"/>
                <w:lang w:eastAsia="ru-RU"/>
              </w:rPr>
              <w:t>2</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1.36</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24772608</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n14</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Граница n = 11/12</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0.1</w:t>
            </w:r>
            <w:r>
              <w:rPr>
                <w:rFonts w:eastAsia="Times New Roman"/>
                <w:color w:val="000000"/>
                <w:szCs w:val="24"/>
                <w:lang w:eastAsia="ru-RU"/>
              </w:rPr>
              <w:t xml:space="preserve"> </w:t>
            </w:r>
            <w:r>
              <w:rPr>
                <w:rFonts w:eastAsia="Times New Roman"/>
                <w:color w:val="000000"/>
                <w:szCs w:val="24"/>
                <w:lang w:val="en-US" w:eastAsia="ru-RU"/>
              </w:rPr>
              <w:t>(W)</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1.20</w:t>
            </w:r>
            <w:r>
              <w:rPr>
                <w:szCs w:val="24"/>
                <w:lang w:eastAsia="ru-RU"/>
              </w:rPr>
              <w:t>×10</w:t>
            </w:r>
            <w:r>
              <w:rPr>
                <w:szCs w:val="24"/>
                <w:vertAlign w:val="superscript"/>
                <w:lang w:eastAsia="ru-RU"/>
              </w:rPr>
              <w:t>-14</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0.31</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917 504</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n15</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Константная группа (20/20)</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 xml:space="preserve"> – </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n16</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t</w:t>
            </w:r>
            <w:r>
              <w:rPr>
                <w:rFonts w:eastAsia="Times New Roman"/>
                <w:color w:val="000000"/>
                <w:szCs w:val="24"/>
                <w:vertAlign w:val="subscript"/>
                <w:lang w:val="en-US" w:eastAsia="ru-RU"/>
              </w:rPr>
              <w:t>2</w:t>
            </w:r>
            <w:r>
              <w:rPr>
                <w:rFonts w:eastAsia="Times New Roman"/>
                <w:color w:val="000000"/>
                <w:szCs w:val="24"/>
                <w:lang w:eastAsia="ru-RU"/>
              </w:rPr>
              <w:t>, n = 3/3</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0.345</w:t>
            </w:r>
            <w:r>
              <w:rPr>
                <w:rFonts w:eastAsia="Times New Roman"/>
                <w:color w:val="000000"/>
                <w:szCs w:val="24"/>
                <w:lang w:eastAsia="ru-RU"/>
              </w:rPr>
              <w:t xml:space="preserve"> </w:t>
            </w:r>
            <w:r>
              <w:rPr>
                <w:rFonts w:eastAsia="Times New Roman"/>
                <w:color w:val="000000"/>
                <w:szCs w:val="24"/>
                <w:lang w:val="en-US" w:eastAsia="ru-RU"/>
              </w:rPr>
              <w:t>(W)</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5.60</w:t>
            </w:r>
            <w:r>
              <w:rPr>
                <w:szCs w:val="24"/>
                <w:lang w:eastAsia="ru-RU"/>
              </w:rPr>
              <w:t>×10</w:t>
            </w:r>
            <w:r>
              <w:rPr>
                <w:szCs w:val="24"/>
                <w:vertAlign w:val="superscript"/>
                <w:lang w:eastAsia="ru-RU"/>
              </w:rPr>
              <w:t>-1</w:t>
            </w:r>
            <w:r>
              <w:rPr>
                <w:szCs w:val="24"/>
                <w:vertAlign w:val="superscript"/>
                <w:lang w:eastAsia="ru-RU"/>
              </w:rPr>
              <w:t>5</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0.29</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655 360</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n17</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Полунормальные (38/38)</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0.357</w:t>
            </w:r>
            <w:r>
              <w:rPr>
                <w:rFonts w:eastAsia="Times New Roman"/>
                <w:color w:val="000000"/>
                <w:szCs w:val="24"/>
                <w:lang w:eastAsia="ru-RU"/>
              </w:rPr>
              <w:t xml:space="preserve"> </w:t>
            </w:r>
            <w:r>
              <w:rPr>
                <w:rFonts w:eastAsia="Times New Roman"/>
                <w:color w:val="000000"/>
                <w:szCs w:val="24"/>
                <w:lang w:val="en-US" w:eastAsia="ru-RU"/>
              </w:rPr>
              <w:t>(M)</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6.30</w:t>
            </w:r>
            <w:r>
              <w:rPr>
                <w:szCs w:val="24"/>
                <w:lang w:eastAsia="ru-RU"/>
              </w:rPr>
              <w:t>×10</w:t>
            </w:r>
            <w:r>
              <w:rPr>
                <w:szCs w:val="24"/>
                <w:vertAlign w:val="superscript"/>
                <w:lang w:eastAsia="ru-RU"/>
              </w:rPr>
              <w:t>-1</w:t>
            </w:r>
            <w:r>
              <w:rPr>
                <w:szCs w:val="24"/>
                <w:vertAlign w:val="superscript"/>
                <w:lang w:eastAsia="ru-RU"/>
              </w:rPr>
              <w:t>3</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0.45</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5 373 952</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n18</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Пуассоновские счёта (60/60)</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1.90</w:t>
            </w:r>
            <w:r>
              <w:rPr>
                <w:szCs w:val="24"/>
                <w:lang w:eastAsia="ru-RU"/>
              </w:rPr>
              <w:t>×10</w:t>
            </w:r>
            <w:r>
              <w:rPr>
                <w:szCs w:val="24"/>
                <w:vertAlign w:val="superscript"/>
                <w:lang w:eastAsia="ru-RU"/>
              </w:rPr>
              <w:t>-</w:t>
            </w:r>
            <w:r>
              <w:rPr>
                <w:szCs w:val="24"/>
                <w:vertAlign w:val="superscript"/>
                <w:lang w:eastAsia="ru-RU"/>
              </w:rPr>
              <w:t>5</w:t>
            </w:r>
            <w:r>
              <w:rPr>
                <w:rFonts w:eastAsia="Times New Roman"/>
                <w:color w:val="000000"/>
                <w:szCs w:val="24"/>
                <w:lang w:eastAsia="ru-RU"/>
              </w:rPr>
              <w:t xml:space="preserve"> </w:t>
            </w:r>
            <w:r>
              <w:rPr>
                <w:rFonts w:eastAsia="Times New Roman"/>
                <w:color w:val="000000"/>
                <w:szCs w:val="24"/>
                <w:lang w:val="en-US" w:eastAsia="ru-RU"/>
              </w:rPr>
              <w:t>(</w:t>
            </w:r>
            <w:r>
              <w:rPr>
                <w:rFonts w:eastAsia="Times New Roman"/>
                <w:color w:val="000000"/>
                <w:szCs w:val="24"/>
                <w:lang w:val="en-US" w:eastAsia="ru-RU"/>
              </w:rPr>
              <w:t>M</w:t>
            </w:r>
            <w:r>
              <w:rPr>
                <w:rFonts w:eastAsia="Times New Roman"/>
                <w:color w:val="000000"/>
                <w:szCs w:val="24"/>
                <w:lang w:val="en-US" w:eastAsia="ru-RU"/>
              </w:rPr>
              <w:t>)</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1.80</w:t>
            </w:r>
            <w:r>
              <w:rPr>
                <w:szCs w:val="24"/>
                <w:lang w:eastAsia="ru-RU"/>
              </w:rPr>
              <w:t>×10</w:t>
            </w:r>
            <w:r>
              <w:rPr>
                <w:szCs w:val="24"/>
                <w:vertAlign w:val="superscript"/>
                <w:lang w:eastAsia="ru-RU"/>
              </w:rPr>
              <w:t>-1</w:t>
            </w:r>
            <w:r>
              <w:rPr>
                <w:szCs w:val="24"/>
                <w:vertAlign w:val="superscript"/>
                <w:lang w:eastAsia="ru-RU"/>
              </w:rPr>
              <w:t>3</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0.54</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6 422 528</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n19</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Равные средние, разные СКО (25/25)</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0.396</w:t>
            </w:r>
            <w:r>
              <w:rPr>
                <w:rFonts w:eastAsia="Times New Roman"/>
                <w:color w:val="000000"/>
                <w:szCs w:val="24"/>
                <w:lang w:eastAsia="ru-RU"/>
              </w:rPr>
              <w:t xml:space="preserve"> </w:t>
            </w:r>
            <w:r>
              <w:rPr>
                <w:rFonts w:eastAsia="Times New Roman"/>
                <w:color w:val="000000"/>
                <w:szCs w:val="24"/>
                <w:lang w:val="en-US" w:eastAsia="ru-RU"/>
              </w:rPr>
              <w:t>(W)</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1.80</w:t>
            </w:r>
            <w:r>
              <w:rPr>
                <w:szCs w:val="24"/>
                <w:lang w:eastAsia="ru-RU"/>
              </w:rPr>
              <w:t>×10</w:t>
            </w:r>
            <w:r>
              <w:rPr>
                <w:szCs w:val="24"/>
                <w:vertAlign w:val="superscript"/>
                <w:lang w:eastAsia="ru-RU"/>
              </w:rPr>
              <w:t>-14</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0.33</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1 441 792</w:t>
            </w:r>
          </w:p>
        </w:tc>
      </w:tr>
      <w:tr>
        <w:tc>
          <w:tcPr>
            <w:tcW w:w="56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n20</w:t>
            </w:r>
          </w:p>
        </w:tc>
        <w:tc>
          <w:tcPr>
            <w:tcW w:w="297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Разность средних (32/32)</w:t>
            </w:r>
          </w:p>
        </w:tc>
        <w:tc>
          <w:tcPr>
            <w:tcW w:w="1418"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1.20</w:t>
            </w:r>
            <w:r>
              <w:rPr>
                <w:szCs w:val="24"/>
                <w:lang w:eastAsia="ru-RU"/>
              </w:rPr>
              <w:t>×10</w:t>
            </w:r>
            <w:r>
              <w:rPr>
                <w:szCs w:val="24"/>
                <w:vertAlign w:val="superscript"/>
                <w:lang w:eastAsia="ru-RU"/>
              </w:rPr>
              <w:t>-</w:t>
            </w:r>
            <w:r>
              <w:rPr>
                <w:szCs w:val="24"/>
                <w:vertAlign w:val="superscript"/>
                <w:lang w:eastAsia="ru-RU"/>
              </w:rPr>
              <w:t>5</w:t>
            </w:r>
            <w:r>
              <w:rPr>
                <w:rFonts w:eastAsia="Times New Roman"/>
                <w:color w:val="000000"/>
                <w:szCs w:val="24"/>
                <w:lang w:eastAsia="ru-RU"/>
              </w:rPr>
              <w:t xml:space="preserve"> </w:t>
            </w:r>
            <w:r>
              <w:rPr>
                <w:rFonts w:eastAsia="Times New Roman"/>
                <w:color w:val="000000"/>
                <w:szCs w:val="24"/>
                <w:lang w:val="en-US" w:eastAsia="ru-RU"/>
              </w:rPr>
              <w:t>(W)</w:t>
            </w:r>
          </w:p>
        </w:tc>
        <w:tc>
          <w:tcPr>
            <w:tcW w:w="1842"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3.10</w:t>
            </w:r>
            <w:r>
              <w:rPr>
                <w:szCs w:val="24"/>
                <w:lang w:eastAsia="ru-RU"/>
              </w:rPr>
              <w:t>×10</w:t>
            </w:r>
            <w:r>
              <w:rPr>
                <w:szCs w:val="24"/>
                <w:vertAlign w:val="superscript"/>
                <w:lang w:eastAsia="ru-RU"/>
              </w:rPr>
              <w:t>-</w:t>
            </w:r>
            <w:r>
              <w:rPr>
                <w:szCs w:val="24"/>
                <w:vertAlign w:val="superscript"/>
                <w:lang w:eastAsia="ru-RU"/>
              </w:rPr>
              <w:t>14</w:t>
            </w:r>
          </w:p>
        </w:tc>
        <w:tc>
          <w:tcPr>
            <w:tcW w:w="99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0.33</w:t>
            </w:r>
          </w:p>
        </w:tc>
        <w:tc>
          <w:tcPr>
            <w:tcW w:w="1553"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1 441 792</w:t>
            </w:r>
          </w:p>
        </w:tc>
      </w:tr>
    </w:tbl>
    <w:p>
      <w:pPr>
        <w:spacing w:before="100" w:beforeAutospacing="1"/>
      </w:pPr>
      <w:r>
        <w:t>Протокол продемонстрировал корректную работу логики автоматического выбора метода сравнения. В 19 из 20 сценариев выбор между параметрическим (Уэлча) и непараметрическим (Муда) путями полностью совпал с решениями, принятыми на основе стандартного теста Шапиро–Уилка (</w:t>
      </w:r>
      <m:oMath>
        <m:r>
          <m:rPr>
            <m:sty m:val="p"/>
          </m:rPr>
          <w:rPr>
            <w:rFonts w:ascii="Cambria Math" w:hAnsi="Cambria Math"/>
          </w:rPr>
          <m:t>α</m:t>
        </m:r>
        <m:r>
          <w:rPr>
            <w:rFonts w:ascii="Cambria Math" w:hAnsi="Cambria Math"/>
          </w:rPr>
          <m:t>= 0,05</m:t>
        </m:r>
      </m:oMath>
      <w:r>
        <w:t>). Единственный сценарий (n15), содержащий константную выборку, вызвал ожидаемую ошибку вычисления, так как все значения были идентичными, что подтверждает корректность обработки исключительных ситуаций и предотвращает выдачу недостоверных статистических выводов при некорректных входных данных.</w:t>
      </w:r>
    </w:p>
    <w:p>
      <w:r>
        <w:t xml:space="preserve">Особое внимание было уделено оценке влияния упрощенного порога </w:t>
      </w:r>
      <m:oMath>
        <m:acc>
          <m:accPr>
            <m:ctrlPr>
              <w:rPr>
                <w:rFonts w:ascii="Cambria Math" w:hAnsi="Cambria Math"/>
              </w:rPr>
            </m:ctrlPr>
          </m:accPr>
          <m:e>
            <m:r>
              <w:rPr>
                <w:rFonts w:ascii="Cambria Math" w:hAnsi="Cambria Math"/>
              </w:rPr>
              <m:t>M</m:t>
            </m:r>
          </m:e>
        </m:acc>
      </m:oMath>
      <w:r>
        <w:t xml:space="preserve"> на результат теста Муда. В таблице</w:t>
      </w:r>
      <w:r>
        <w:fldChar w:fldCharType="begin"/>
      </w:r>
      <w:r>
        <w:instrText xml:space="preserve"> REF _Ref239677600 \h \##</w:instrText>
      </w:r>
      <w:r>
        <w:fldChar w:fldCharType="separate"/>
      </w:r>
      <w:r>
        <w:t xml:space="preserve"> 2</w:t>
      </w:r>
      <w:r>
        <w:fldChar w:fldCharType="end"/>
      </w:r>
      <w:r>
        <w:t xml:space="preserve"> представлены сравнительные данные p-значений, полученных протоколом (</w:t>
      </w:r>
      <m:oMath>
        <m:sSub>
          <m:sSubPr>
            <m:ctrlPr>
              <w:rPr>
                <w:rFonts w:ascii="Cambria Math" w:hAnsi="Cambria Math"/>
                <w:i/>
              </w:rPr>
            </m:ctrlPr>
          </m:sSubPr>
          <m:e>
            <m:r>
              <w:rPr>
                <w:rFonts w:ascii="Cambria Math" w:hAnsi="Cambria Math"/>
              </w:rPr>
              <m:t>p</m:t>
            </m:r>
          </m:e>
          <m:sub>
            <m:r>
              <w:rPr>
                <w:rFonts w:ascii="Cambria Math" w:hAnsi="Cambria Math"/>
              </w:rPr>
              <m:t>approx</m:t>
            </m:r>
          </m:sub>
        </m:sSub>
      </m:oMath>
      <w:r>
        <w:t>), и «золотого стандарта» (</w:t>
      </w:r>
      <m:oMath>
        <m:sSub>
          <m:sSubPr>
            <m:ctrlPr>
              <w:rPr>
                <w:rFonts w:ascii="Cambria Math" w:hAnsi="Cambria Math"/>
                <w:i/>
              </w:rPr>
            </m:ctrlPr>
          </m:sSubPr>
          <m:e>
            <m:r>
              <w:rPr>
                <w:rFonts w:ascii="Cambria Math" w:hAnsi="Cambria Math"/>
              </w:rPr>
              <m:t>p</m:t>
            </m:r>
          </m:e>
          <m:sub>
            <m:r>
              <w:rPr>
                <w:rFonts w:ascii="Cambria Math" w:hAnsi="Cambria Math"/>
              </w:rPr>
              <m:t>exact</m:t>
            </m:r>
          </m:sub>
        </m:sSub>
      </m:oMath>
      <w:r>
        <w:t>), вычисленного по истинной объединенной медиане.</w:t>
      </w:r>
    </w:p>
    <w:p>
      <w:pPr>
        <w:pStyle w:val="af6"/>
      </w:pPr>
      <w:bookmarkStart w:id="1" w:name="_Ref239677600"/>
      <w:r>
        <w:t xml:space="preserve">Таблица </w:t>
      </w:r>
      <w:r>
        <w:fldChar w:fldCharType="begin"/>
      </w:r>
      <w:r>
        <w:instrText xml:space="preserve"> SEQ Таблица \* ARABIC </w:instrText>
      </w:r>
      <w:r>
        <w:fldChar w:fldCharType="separate"/>
      </w:r>
      <w:r>
        <w:rPr>
          <w:noProof/>
        </w:rPr>
        <w:t>2</w:t>
      </w:r>
      <w:r>
        <w:fldChar w:fldCharType="end"/>
      </w:r>
      <w:bookmarkEnd w:id="1"/>
      <w:r>
        <w:t>. Сравнительные характеристики медианного теста при различных способах определения порога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57" w:type="dxa"/>
          <w:bottom w:w="15" w:type="dxa"/>
          <w:right w:w="57" w:type="dxa"/>
        </w:tblCellMar>
        <w:tblLook w:val="04A0" w:firstRow="1" w:lastRow="0" w:firstColumn="1" w:lastColumn="0" w:noHBand="0" w:noVBand="1"/>
      </w:tblPr>
      <w:tblGrid>
        <w:gridCol w:w="745"/>
        <w:gridCol w:w="3783"/>
        <w:gridCol w:w="1699"/>
        <w:gridCol w:w="1559"/>
        <w:gridCol w:w="1559"/>
      </w:tblGrid>
      <w:tr>
        <w:trPr>
          <w:tblHeader/>
        </w:trPr>
        <w:tc>
          <w:tcPr>
            <w:tcW w:w="399" w:type="pct"/>
            <w:shd w:val="clear" w:color="auto" w:fill="FFFFFF"/>
            <w:tcMar>
              <w:top w:w="75" w:type="dxa"/>
              <w:left w:w="75" w:type="dxa"/>
              <w:bottom w:w="75" w:type="dxa"/>
              <w:right w:w="75" w:type="dxa"/>
            </w:tcMar>
            <w:vAlign w:val="center"/>
            <w:hideMark/>
          </w:tcPr>
          <w:p>
            <w:pPr>
              <w:ind w:firstLine="0"/>
              <w:jc w:val="center"/>
              <w:rPr>
                <w:b/>
                <w:bCs/>
                <w:szCs w:val="24"/>
                <w:lang w:val="en-US" w:eastAsia="ru-RU"/>
              </w:rPr>
            </w:pPr>
            <w:r>
              <w:rPr>
                <w:b/>
                <w:bCs/>
                <w:szCs w:val="24"/>
                <w:lang w:val="en-US" w:eastAsia="ru-RU"/>
              </w:rPr>
              <w:t>ID</w:t>
            </w:r>
          </w:p>
        </w:tc>
        <w:tc>
          <w:tcPr>
            <w:tcW w:w="2024" w:type="pct"/>
            <w:shd w:val="clear" w:color="auto" w:fill="FFFFFF"/>
            <w:tcMar>
              <w:top w:w="75" w:type="dxa"/>
              <w:left w:w="75" w:type="dxa"/>
              <w:bottom w:w="75" w:type="dxa"/>
              <w:right w:w="75" w:type="dxa"/>
            </w:tcMar>
            <w:vAlign w:val="center"/>
            <w:hideMark/>
          </w:tcPr>
          <w:p>
            <w:pPr>
              <w:ind w:firstLine="0"/>
              <w:jc w:val="center"/>
              <w:rPr>
                <w:b/>
                <w:bCs/>
                <w:szCs w:val="24"/>
                <w:lang w:eastAsia="ru-RU"/>
              </w:rPr>
            </w:pPr>
            <w:r>
              <w:rPr>
                <w:b/>
                <w:bCs/>
                <w:szCs w:val="24"/>
                <w:lang w:eastAsia="ru-RU"/>
              </w:rPr>
              <w:t>Описание</w:t>
            </w:r>
          </w:p>
        </w:tc>
        <w:tc>
          <w:tcPr>
            <w:tcW w:w="909" w:type="pct"/>
            <w:shd w:val="clear" w:color="auto" w:fill="FFFFFF"/>
            <w:tcMar>
              <w:top w:w="75" w:type="dxa"/>
              <w:left w:w="75" w:type="dxa"/>
              <w:bottom w:w="75" w:type="dxa"/>
              <w:right w:w="75" w:type="dxa"/>
            </w:tcMar>
            <w:vAlign w:val="center"/>
            <w:hideMark/>
          </w:tcPr>
          <w:p>
            <w:pPr>
              <w:ind w:firstLine="0"/>
              <w:jc w:val="center"/>
              <w:rPr>
                <w:b/>
                <w:bCs/>
                <w:szCs w:val="24"/>
                <w:lang w:eastAsia="ru-RU"/>
              </w:rPr>
            </w:pPr>
            <m:oMathPara>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exact</m:t>
                    </m:r>
                  </m:sub>
                </m:sSub>
              </m:oMath>
            </m:oMathPara>
          </w:p>
        </w:tc>
        <w:tc>
          <w:tcPr>
            <w:tcW w:w="834" w:type="pct"/>
            <w:shd w:val="clear" w:color="auto" w:fill="FFFFFF"/>
            <w:vAlign w:val="center"/>
          </w:tcPr>
          <w:p>
            <w:pPr>
              <w:ind w:firstLine="0"/>
              <w:jc w:val="center"/>
              <w:rPr>
                <w:b/>
                <w:bCs/>
                <w:szCs w:val="24"/>
                <w:lang w:eastAsia="ru-RU"/>
              </w:rPr>
            </w:pPr>
            <m:oMathPara>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approx</m:t>
                    </m:r>
                  </m:sub>
                </m:sSub>
              </m:oMath>
            </m:oMathPara>
          </w:p>
        </w:tc>
        <w:tc>
          <w:tcPr>
            <w:tcW w:w="834" w:type="pct"/>
            <w:shd w:val="clear" w:color="auto" w:fill="FFFFFF"/>
            <w:tcMar>
              <w:top w:w="75" w:type="dxa"/>
              <w:left w:w="75" w:type="dxa"/>
              <w:bottom w:w="75" w:type="dxa"/>
              <w:right w:w="75" w:type="dxa"/>
            </w:tcMar>
            <w:vAlign w:val="center"/>
            <w:hideMark/>
          </w:tcPr>
          <w:p>
            <w:pPr>
              <w:ind w:firstLine="0"/>
              <w:jc w:val="center"/>
              <w:rPr>
                <w:b/>
                <w:bCs/>
                <w:szCs w:val="24"/>
                <w:lang w:eastAsia="ru-RU"/>
              </w:rPr>
            </w:pPr>
            <w:r>
              <w:rPr>
                <w:b/>
                <w:bCs/>
                <w:szCs w:val="24"/>
                <w:lang w:eastAsia="ru-RU"/>
              </w:rPr>
              <w:t>Δp</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n01</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Нормальные, равные (30/25)</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0.031</w:t>
            </w:r>
          </w:p>
        </w:tc>
        <w:tc>
          <w:tcPr>
            <w:tcW w:w="834" w:type="pct"/>
            <w:shd w:val="clear" w:color="auto" w:fill="FFFFFF"/>
            <w:vAlign w:val="center"/>
          </w:tcPr>
          <w:p>
            <w:pPr>
              <w:ind w:firstLine="0"/>
              <w:jc w:val="center"/>
              <w:rPr>
                <w:szCs w:val="24"/>
                <w:lang w:eastAsia="ru-RU"/>
              </w:rPr>
            </w:pPr>
            <w:r>
              <w:rPr>
                <w:szCs w:val="24"/>
                <w:lang w:eastAsia="ru-RU"/>
              </w:rPr>
              <w:t>0.060</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-0.0292</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n02</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Нормальные, смещение среднего (8/8)</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0.619</w:t>
            </w:r>
          </w:p>
        </w:tc>
        <w:tc>
          <w:tcPr>
            <w:tcW w:w="834" w:type="pct"/>
            <w:shd w:val="clear" w:color="auto" w:fill="FFFFFF"/>
            <w:vAlign w:val="center"/>
          </w:tcPr>
          <w:p>
            <w:pPr>
              <w:ind w:firstLine="0"/>
              <w:jc w:val="center"/>
              <w:rPr>
                <w:szCs w:val="24"/>
                <w:lang w:eastAsia="ru-RU"/>
              </w:rPr>
            </w:pPr>
            <w:r>
              <w:rPr>
                <w:szCs w:val="24"/>
                <w:lang w:eastAsia="ru-RU"/>
              </w:rPr>
              <w:t>0.315</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0.3046</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n03</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Нормальные, неравные дисперсии (60/60)</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0.000</w:t>
            </w:r>
          </w:p>
        </w:tc>
        <w:tc>
          <w:tcPr>
            <w:tcW w:w="834" w:type="pct"/>
            <w:shd w:val="clear" w:color="auto" w:fill="FFFFFF"/>
            <w:vAlign w:val="center"/>
          </w:tcPr>
          <w:p>
            <w:pPr>
              <w:ind w:firstLine="0"/>
              <w:jc w:val="center"/>
              <w:rPr>
                <w:szCs w:val="24"/>
                <w:lang w:eastAsia="ru-RU"/>
              </w:rPr>
            </w:pPr>
            <w:r>
              <w:rPr>
                <w:szCs w:val="24"/>
                <w:lang w:eastAsia="ru-RU"/>
              </w:rPr>
              <w:t>1.3</w:t>
            </w:r>
            <w:r>
              <w:rPr>
                <w:szCs w:val="24"/>
                <w:lang w:eastAsia="ru-RU"/>
              </w:rPr>
              <w:t>×10</w:t>
            </w:r>
            <w:r>
              <w:rPr>
                <w:szCs w:val="24"/>
                <w:vertAlign w:val="superscript"/>
                <w:lang w:eastAsia="ru-RU"/>
              </w:rPr>
              <w:t>-</w:t>
            </w:r>
            <w:r>
              <w:rPr>
                <w:szCs w:val="24"/>
                <w:vertAlign w:val="superscript"/>
                <w:lang w:eastAsia="ru-RU"/>
              </w:rPr>
              <w:t>6</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4.7</w:t>
            </w:r>
            <w:r>
              <w:rPr>
                <w:szCs w:val="24"/>
                <w:lang w:eastAsia="ru-RU"/>
              </w:rPr>
              <w:t>×10</w:t>
            </w:r>
            <w:r>
              <w:rPr>
                <w:szCs w:val="24"/>
                <w:vertAlign w:val="superscript"/>
                <w:lang w:eastAsia="ru-RU"/>
              </w:rPr>
              <w:t>-</w:t>
            </w:r>
            <w:r>
              <w:rPr>
                <w:szCs w:val="24"/>
                <w:vertAlign w:val="superscript"/>
                <w:lang w:eastAsia="ru-RU"/>
              </w:rPr>
              <w:t>4</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n04</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Нормальные, неравные n (200/30)</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0.170</w:t>
            </w:r>
          </w:p>
        </w:tc>
        <w:tc>
          <w:tcPr>
            <w:tcW w:w="834" w:type="pct"/>
            <w:shd w:val="clear" w:color="auto" w:fill="FFFFFF"/>
            <w:vAlign w:val="center"/>
          </w:tcPr>
          <w:p>
            <w:pPr>
              <w:ind w:firstLine="0"/>
              <w:jc w:val="center"/>
              <w:rPr>
                <w:szCs w:val="24"/>
                <w:lang w:eastAsia="ru-RU"/>
              </w:rPr>
            </w:pPr>
            <w:r>
              <w:rPr>
                <w:szCs w:val="24"/>
                <w:lang w:eastAsia="ru-RU"/>
              </w:rPr>
              <w:t>0.121</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0.0487</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lastRenderedPageBreak/>
              <w:t>n05</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Нормальные, n = 3/4</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1.000</w:t>
            </w:r>
          </w:p>
        </w:tc>
        <w:tc>
          <w:tcPr>
            <w:tcW w:w="834" w:type="pct"/>
            <w:shd w:val="clear" w:color="auto" w:fill="FFFFFF"/>
            <w:vAlign w:val="center"/>
          </w:tcPr>
          <w:p>
            <w:pPr>
              <w:ind w:firstLine="0"/>
              <w:jc w:val="center"/>
              <w:rPr>
                <w:szCs w:val="24"/>
                <w:lang w:eastAsia="ru-RU"/>
              </w:rPr>
            </w:pPr>
            <w:r>
              <w:rPr>
                <w:szCs w:val="24"/>
                <w:lang w:eastAsia="ru-RU"/>
              </w:rPr>
              <w:t>0.429</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0.5714</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n06</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Логнормальные (40/40)</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1.2</w:t>
            </w:r>
            <w:r>
              <w:rPr>
                <w:szCs w:val="24"/>
                <w:lang w:eastAsia="ru-RU"/>
              </w:rPr>
              <w:t>×10</w:t>
            </w:r>
            <w:r>
              <w:rPr>
                <w:szCs w:val="24"/>
                <w:vertAlign w:val="superscript"/>
                <w:lang w:eastAsia="ru-RU"/>
              </w:rPr>
              <w:t>-</w:t>
            </w:r>
            <w:r>
              <w:rPr>
                <w:szCs w:val="24"/>
                <w:vertAlign w:val="superscript"/>
                <w:lang w:eastAsia="ru-RU"/>
              </w:rPr>
              <w:t>7</w:t>
            </w:r>
          </w:p>
        </w:tc>
        <w:tc>
          <w:tcPr>
            <w:tcW w:w="834" w:type="pct"/>
            <w:shd w:val="clear" w:color="auto" w:fill="FFFFFF"/>
            <w:vAlign w:val="center"/>
          </w:tcPr>
          <w:p>
            <w:pPr>
              <w:ind w:firstLine="0"/>
              <w:jc w:val="center"/>
              <w:rPr>
                <w:szCs w:val="24"/>
                <w:lang w:eastAsia="ru-RU"/>
              </w:rPr>
            </w:pPr>
            <w:r>
              <w:rPr>
                <w:szCs w:val="24"/>
                <w:lang w:eastAsia="ru-RU"/>
              </w:rPr>
              <w:t>4.9×10</w:t>
            </w:r>
            <w:r>
              <w:rPr>
                <w:szCs w:val="24"/>
                <w:vertAlign w:val="superscript"/>
                <w:lang w:eastAsia="ru-RU"/>
              </w:rPr>
              <w:t>-</w:t>
            </w:r>
            <w:r>
              <w:rPr>
                <w:szCs w:val="24"/>
                <w:vertAlign w:val="superscript"/>
                <w:lang w:eastAsia="ru-RU"/>
              </w:rPr>
              <w:t>8</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6.8</w:t>
            </w:r>
            <w:r>
              <w:rPr>
                <w:szCs w:val="24"/>
                <w:lang w:eastAsia="ru-RU"/>
              </w:rPr>
              <w:t>×10</w:t>
            </w:r>
            <w:r>
              <w:rPr>
                <w:szCs w:val="24"/>
                <w:vertAlign w:val="superscript"/>
                <w:lang w:eastAsia="ru-RU"/>
              </w:rPr>
              <w:t>-</w:t>
            </w:r>
            <w:r>
              <w:rPr>
                <w:szCs w:val="24"/>
                <w:vertAlign w:val="superscript"/>
                <w:lang w:eastAsia="ru-RU"/>
              </w:rPr>
              <w:t>8</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n07</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Гамма, shape = 2 (40/40)</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0.823</w:t>
            </w:r>
          </w:p>
        </w:tc>
        <w:tc>
          <w:tcPr>
            <w:tcW w:w="834" w:type="pct"/>
            <w:shd w:val="clear" w:color="auto" w:fill="FFFFFF"/>
            <w:vAlign w:val="center"/>
          </w:tcPr>
          <w:p>
            <w:pPr>
              <w:ind w:firstLine="0"/>
              <w:jc w:val="center"/>
              <w:rPr>
                <w:szCs w:val="24"/>
                <w:lang w:eastAsia="ru-RU"/>
              </w:rPr>
            </w:pPr>
            <w:r>
              <w:rPr>
                <w:szCs w:val="24"/>
                <w:lang w:eastAsia="ru-RU"/>
              </w:rPr>
              <w:t>0.261</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0.5622</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n08</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Экспоненциальные (50/50)</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0.317</w:t>
            </w:r>
          </w:p>
        </w:tc>
        <w:tc>
          <w:tcPr>
            <w:tcW w:w="834" w:type="pct"/>
            <w:shd w:val="clear" w:color="auto" w:fill="FFFFFF"/>
            <w:vAlign w:val="center"/>
          </w:tcPr>
          <w:p>
            <w:pPr>
              <w:ind w:firstLine="0"/>
              <w:jc w:val="center"/>
              <w:rPr>
                <w:szCs w:val="24"/>
                <w:lang w:eastAsia="ru-RU"/>
              </w:rPr>
            </w:pPr>
            <w:r>
              <w:rPr>
                <w:szCs w:val="24"/>
                <w:lang w:eastAsia="ru-RU"/>
              </w:rPr>
              <w:t>0.069</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0.2481</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n09</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Равномерные (35/35)</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0.004</w:t>
            </w:r>
          </w:p>
        </w:tc>
        <w:tc>
          <w:tcPr>
            <w:tcW w:w="834" w:type="pct"/>
            <w:shd w:val="clear" w:color="auto" w:fill="FFFFFF"/>
            <w:vAlign w:val="center"/>
          </w:tcPr>
          <w:p>
            <w:pPr>
              <w:ind w:firstLine="0"/>
              <w:jc w:val="center"/>
              <w:rPr>
                <w:szCs w:val="24"/>
                <w:lang w:eastAsia="ru-RU"/>
              </w:rPr>
            </w:pPr>
            <w:r>
              <w:rPr>
                <w:szCs w:val="24"/>
                <w:lang w:eastAsia="ru-RU"/>
              </w:rPr>
              <w:t>0.008</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-0.00426</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n10</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t</w:t>
            </w:r>
            <w:r>
              <w:rPr>
                <w:szCs w:val="24"/>
                <w:vertAlign w:val="subscript"/>
                <w:lang w:val="en-US" w:eastAsia="ru-RU"/>
              </w:rPr>
              <w:t>3</w:t>
            </w:r>
            <w:r>
              <w:rPr>
                <w:szCs w:val="24"/>
                <w:lang w:eastAsia="ru-RU"/>
              </w:rPr>
              <w:t>, тяжёлый хвост (45/45)</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0.001</w:t>
            </w:r>
          </w:p>
        </w:tc>
        <w:tc>
          <w:tcPr>
            <w:tcW w:w="834" w:type="pct"/>
            <w:shd w:val="clear" w:color="auto" w:fill="FFFFFF"/>
            <w:vAlign w:val="center"/>
          </w:tcPr>
          <w:p>
            <w:pPr>
              <w:ind w:firstLine="0"/>
              <w:jc w:val="center"/>
              <w:rPr>
                <w:szCs w:val="24"/>
                <w:lang w:eastAsia="ru-RU"/>
              </w:rPr>
            </w:pPr>
            <w:r>
              <w:rPr>
                <w:szCs w:val="24"/>
                <w:lang w:eastAsia="ru-RU"/>
              </w:rPr>
              <w:t>0.003</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-0.00226</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n11</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Бимодальная смесь (40/40)</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1.000</w:t>
            </w:r>
          </w:p>
        </w:tc>
        <w:tc>
          <w:tcPr>
            <w:tcW w:w="834" w:type="pct"/>
            <w:shd w:val="clear" w:color="auto" w:fill="FFFFFF"/>
            <w:vAlign w:val="center"/>
          </w:tcPr>
          <w:p>
            <w:pPr>
              <w:ind w:firstLine="0"/>
              <w:jc w:val="center"/>
              <w:rPr>
                <w:szCs w:val="24"/>
                <w:lang w:eastAsia="ru-RU"/>
              </w:rPr>
            </w:pPr>
            <w:r>
              <w:rPr>
                <w:szCs w:val="24"/>
                <w:lang w:eastAsia="ru-RU"/>
              </w:rPr>
              <w:t>1.000</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n12</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Дискретные 1:5 (50/50)</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0.838</w:t>
            </w:r>
          </w:p>
        </w:tc>
        <w:tc>
          <w:tcPr>
            <w:tcW w:w="834" w:type="pct"/>
            <w:shd w:val="clear" w:color="auto" w:fill="FFFFFF"/>
            <w:vAlign w:val="center"/>
          </w:tcPr>
          <w:p>
            <w:pPr>
              <w:ind w:firstLine="0"/>
              <w:jc w:val="center"/>
              <w:rPr>
                <w:szCs w:val="24"/>
                <w:lang w:eastAsia="ru-RU"/>
              </w:rPr>
            </w:pPr>
            <w:r>
              <w:rPr>
                <w:szCs w:val="24"/>
                <w:lang w:eastAsia="ru-RU"/>
              </w:rPr>
              <w:t>0.838</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n13</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Крупные нормальные (1000/1000)</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8.5</w:t>
            </w:r>
            <w:r>
              <w:rPr>
                <w:szCs w:val="24"/>
                <w:lang w:eastAsia="ru-RU"/>
              </w:rPr>
              <w:t>×10</w:t>
            </w:r>
            <w:r>
              <w:rPr>
                <w:szCs w:val="24"/>
                <w:vertAlign w:val="superscript"/>
                <w:lang w:eastAsia="ru-RU"/>
              </w:rPr>
              <w:t>-</w:t>
            </w:r>
            <w:r>
              <w:rPr>
                <w:szCs w:val="24"/>
                <w:vertAlign w:val="superscript"/>
                <w:lang w:eastAsia="ru-RU"/>
              </w:rPr>
              <w:t>10</w:t>
            </w:r>
          </w:p>
        </w:tc>
        <w:tc>
          <w:tcPr>
            <w:tcW w:w="834" w:type="pct"/>
            <w:shd w:val="clear" w:color="auto" w:fill="FFFFFF"/>
            <w:vAlign w:val="center"/>
          </w:tcPr>
          <w:p>
            <w:pPr>
              <w:ind w:firstLine="0"/>
              <w:jc w:val="center"/>
              <w:rPr>
                <w:szCs w:val="24"/>
                <w:lang w:eastAsia="ru-RU"/>
              </w:rPr>
            </w:pPr>
            <w:r>
              <w:rPr>
                <w:szCs w:val="24"/>
                <w:lang w:eastAsia="ru-RU"/>
              </w:rPr>
              <w:t>6.3×10</w:t>
            </w:r>
            <w:r>
              <w:rPr>
                <w:szCs w:val="24"/>
                <w:vertAlign w:val="superscript"/>
                <w:lang w:eastAsia="ru-RU"/>
              </w:rPr>
              <w:t>-</w:t>
            </w:r>
            <w:r>
              <w:rPr>
                <w:szCs w:val="24"/>
                <w:vertAlign w:val="superscript"/>
                <w:lang w:eastAsia="ru-RU"/>
              </w:rPr>
              <w:t>10</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2.1</w:t>
            </w:r>
            <w:r>
              <w:rPr>
                <w:szCs w:val="24"/>
                <w:lang w:eastAsia="ru-RU"/>
              </w:rPr>
              <w:t>×10</w:t>
            </w:r>
            <w:r>
              <w:rPr>
                <w:szCs w:val="24"/>
                <w:vertAlign w:val="superscript"/>
                <w:lang w:eastAsia="ru-RU"/>
              </w:rPr>
              <w:t>-</w:t>
            </w:r>
            <w:r>
              <w:rPr>
                <w:szCs w:val="24"/>
                <w:vertAlign w:val="superscript"/>
                <w:lang w:eastAsia="ru-RU"/>
              </w:rPr>
              <w:t>10</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n14</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Граница n = 11/12</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0.414</w:t>
            </w:r>
          </w:p>
        </w:tc>
        <w:tc>
          <w:tcPr>
            <w:tcW w:w="834" w:type="pct"/>
            <w:shd w:val="clear" w:color="auto" w:fill="FFFFFF"/>
            <w:vAlign w:val="center"/>
          </w:tcPr>
          <w:p>
            <w:pPr>
              <w:ind w:firstLine="0"/>
              <w:jc w:val="center"/>
              <w:rPr>
                <w:szCs w:val="24"/>
                <w:lang w:eastAsia="ru-RU"/>
              </w:rPr>
            </w:pPr>
            <w:r>
              <w:rPr>
                <w:szCs w:val="24"/>
                <w:lang w:eastAsia="ru-RU"/>
              </w:rPr>
              <w:t>0.220</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0.193</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n16</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t</w:t>
            </w:r>
            <w:r>
              <w:rPr>
                <w:szCs w:val="24"/>
                <w:vertAlign w:val="subscript"/>
                <w:lang w:val="en-US" w:eastAsia="ru-RU"/>
              </w:rPr>
              <w:t>2</w:t>
            </w:r>
            <w:r>
              <w:rPr>
                <w:szCs w:val="24"/>
                <w:lang w:eastAsia="ru-RU"/>
              </w:rPr>
              <w:t>, n = 3/3</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1.000</w:t>
            </w:r>
          </w:p>
        </w:tc>
        <w:tc>
          <w:tcPr>
            <w:tcW w:w="834" w:type="pct"/>
            <w:shd w:val="clear" w:color="auto" w:fill="FFFFFF"/>
            <w:vAlign w:val="center"/>
          </w:tcPr>
          <w:p>
            <w:pPr>
              <w:ind w:firstLine="0"/>
              <w:jc w:val="center"/>
              <w:rPr>
                <w:szCs w:val="24"/>
                <w:lang w:eastAsia="ru-RU"/>
              </w:rPr>
            </w:pPr>
            <w:r>
              <w:rPr>
                <w:szCs w:val="24"/>
                <w:lang w:eastAsia="ru-RU"/>
              </w:rPr>
              <w:t>1.000</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n17</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Полунормальные (38/38)</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0.492</w:t>
            </w:r>
          </w:p>
        </w:tc>
        <w:tc>
          <w:tcPr>
            <w:tcW w:w="834" w:type="pct"/>
            <w:shd w:val="clear" w:color="auto" w:fill="FFFFFF"/>
            <w:vAlign w:val="center"/>
          </w:tcPr>
          <w:p>
            <w:pPr>
              <w:ind w:firstLine="0"/>
              <w:jc w:val="center"/>
              <w:rPr>
                <w:szCs w:val="24"/>
                <w:lang w:eastAsia="ru-RU"/>
              </w:rPr>
            </w:pPr>
            <w:r>
              <w:rPr>
                <w:szCs w:val="24"/>
                <w:lang w:eastAsia="ru-RU"/>
              </w:rPr>
              <w:t>0.357</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0.134</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n18</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Пуассоновские счёта (60/60)</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2.5</w:t>
            </w:r>
            <w:r>
              <w:rPr>
                <w:szCs w:val="24"/>
                <w:lang w:eastAsia="ru-RU"/>
              </w:rPr>
              <w:t>×10</w:t>
            </w:r>
            <w:r>
              <w:rPr>
                <w:szCs w:val="24"/>
                <w:vertAlign w:val="superscript"/>
                <w:lang w:eastAsia="ru-RU"/>
              </w:rPr>
              <w:t>-</w:t>
            </w:r>
            <w:r>
              <w:rPr>
                <w:szCs w:val="24"/>
                <w:vertAlign w:val="superscript"/>
                <w:lang w:eastAsia="ru-RU"/>
              </w:rPr>
              <w:t>5</w:t>
            </w:r>
          </w:p>
        </w:tc>
        <w:tc>
          <w:tcPr>
            <w:tcW w:w="834" w:type="pct"/>
            <w:shd w:val="clear" w:color="auto" w:fill="FFFFFF"/>
            <w:vAlign w:val="center"/>
          </w:tcPr>
          <w:p>
            <w:pPr>
              <w:ind w:firstLine="0"/>
              <w:jc w:val="center"/>
              <w:rPr>
                <w:szCs w:val="24"/>
                <w:lang w:eastAsia="ru-RU"/>
              </w:rPr>
            </w:pPr>
            <w:r>
              <w:rPr>
                <w:szCs w:val="24"/>
                <w:lang w:eastAsia="ru-RU"/>
              </w:rPr>
              <w:t>1.9×10</w:t>
            </w:r>
            <w:r>
              <w:rPr>
                <w:szCs w:val="24"/>
                <w:vertAlign w:val="superscript"/>
                <w:lang w:eastAsia="ru-RU"/>
              </w:rPr>
              <w:t>-</w:t>
            </w:r>
            <w:r>
              <w:rPr>
                <w:szCs w:val="24"/>
                <w:vertAlign w:val="superscript"/>
                <w:lang w:eastAsia="ru-RU"/>
              </w:rPr>
              <w:t>5</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6.1</w:t>
            </w:r>
            <w:r>
              <w:rPr>
                <w:szCs w:val="24"/>
                <w:lang w:eastAsia="ru-RU"/>
              </w:rPr>
              <w:t>×10</w:t>
            </w:r>
            <w:r>
              <w:rPr>
                <w:szCs w:val="24"/>
                <w:vertAlign w:val="superscript"/>
                <w:lang w:eastAsia="ru-RU"/>
              </w:rPr>
              <w:t>-6</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n19</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Равные средние, разные СКО (25/25)</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1.000</w:t>
            </w:r>
          </w:p>
        </w:tc>
        <w:tc>
          <w:tcPr>
            <w:tcW w:w="834" w:type="pct"/>
            <w:shd w:val="clear" w:color="auto" w:fill="FFFFFF"/>
            <w:vAlign w:val="center"/>
          </w:tcPr>
          <w:p>
            <w:pPr>
              <w:ind w:firstLine="0"/>
              <w:jc w:val="center"/>
              <w:rPr>
                <w:szCs w:val="24"/>
                <w:lang w:eastAsia="ru-RU"/>
              </w:rPr>
            </w:pPr>
            <w:r>
              <w:rPr>
                <w:szCs w:val="24"/>
                <w:lang w:eastAsia="ru-RU"/>
              </w:rPr>
              <w:t>0.571</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0.429</w:t>
            </w:r>
          </w:p>
        </w:tc>
      </w:tr>
      <w:tr>
        <w:tc>
          <w:tcPr>
            <w:tcW w:w="39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n20</w:t>
            </w:r>
          </w:p>
        </w:tc>
        <w:tc>
          <w:tcPr>
            <w:tcW w:w="202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Разность средних (32/32)</w:t>
            </w:r>
          </w:p>
        </w:tc>
        <w:tc>
          <w:tcPr>
            <w:tcW w:w="909"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0.000</w:t>
            </w:r>
          </w:p>
        </w:tc>
        <w:tc>
          <w:tcPr>
            <w:tcW w:w="834" w:type="pct"/>
            <w:shd w:val="clear" w:color="auto" w:fill="FFFFFF"/>
            <w:vAlign w:val="center"/>
          </w:tcPr>
          <w:p>
            <w:pPr>
              <w:ind w:firstLine="0"/>
              <w:jc w:val="center"/>
              <w:rPr>
                <w:szCs w:val="24"/>
                <w:lang w:eastAsia="ru-RU"/>
              </w:rPr>
            </w:pPr>
            <w:r>
              <w:rPr>
                <w:szCs w:val="24"/>
                <w:lang w:eastAsia="ru-RU"/>
              </w:rPr>
              <w:t>0.001</w:t>
            </w:r>
          </w:p>
        </w:tc>
        <w:tc>
          <w:tcPr>
            <w:tcW w:w="834" w:type="pct"/>
            <w:shd w:val="clear" w:color="auto" w:fill="FFFFFF"/>
            <w:tcMar>
              <w:top w:w="75" w:type="dxa"/>
              <w:left w:w="75" w:type="dxa"/>
              <w:bottom w:w="75" w:type="dxa"/>
              <w:right w:w="75" w:type="dxa"/>
            </w:tcMar>
            <w:vAlign w:val="center"/>
            <w:hideMark/>
          </w:tcPr>
          <w:p>
            <w:pPr>
              <w:ind w:firstLine="0"/>
              <w:jc w:val="center"/>
              <w:rPr>
                <w:szCs w:val="24"/>
                <w:lang w:eastAsia="ru-RU"/>
              </w:rPr>
            </w:pPr>
            <w:r>
              <w:rPr>
                <w:szCs w:val="24"/>
                <w:lang w:eastAsia="ru-RU"/>
              </w:rPr>
              <w:t>-8.3</w:t>
            </w:r>
            <w:r>
              <w:rPr>
                <w:szCs w:val="24"/>
                <w:lang w:eastAsia="ru-RU"/>
              </w:rPr>
              <w:t>×10</w:t>
            </w:r>
            <w:r>
              <w:rPr>
                <w:szCs w:val="24"/>
                <w:vertAlign w:val="superscript"/>
                <w:lang w:eastAsia="ru-RU"/>
              </w:rPr>
              <w:t>-</w:t>
            </w:r>
            <w:r>
              <w:rPr>
                <w:szCs w:val="24"/>
                <w:vertAlign w:val="superscript"/>
                <w:lang w:eastAsia="ru-RU"/>
              </w:rPr>
              <w:t>4</w:t>
            </w:r>
          </w:p>
        </w:tc>
      </w:tr>
    </w:tbl>
    <w:p>
      <w:pPr>
        <w:spacing w:before="100" w:beforeAutospacing="1"/>
      </w:pPr>
      <w:r>
        <w:t xml:space="preserve">Анализ показал, что использование аппроксимации </w:t>
      </w:r>
      <m:oMath>
        <m:acc>
          <m:accPr>
            <m:ctrlPr>
              <w:rPr>
                <w:rFonts w:ascii="Cambria Math" w:hAnsi="Cambria Math"/>
              </w:rPr>
            </m:ctrlPr>
          </m:accPr>
          <m:e>
            <m:r>
              <w:rPr>
                <w:rFonts w:ascii="Cambria Math" w:hAnsi="Cambria Math"/>
              </w:rPr>
              <m:t>M</m:t>
            </m:r>
          </m:e>
        </m:acc>
        <m:r>
          <w:rPr>
            <w:rFonts w:ascii="Cambria Math" w:hAnsi="Cambria Math"/>
          </w:rPr>
          <m:t>=</m:t>
        </m:r>
        <m:d>
          <m:dPr>
            <m:ctrlPr>
              <w:rPr>
                <w:rFonts w:ascii="Cambria Math" w:hAnsi="Cambria Math"/>
                <w:i/>
              </w:rPr>
            </m:ctrlPr>
          </m:dPr>
          <m:e>
            <m:r>
              <w:rPr>
                <w:rFonts w:ascii="Cambria Math" w:hAnsi="Cambria Math"/>
              </w:rPr>
              <m:t>me</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+me</m:t>
            </m:r>
            <m:sSub>
              <m:sSubPr>
                <m:ctrlPr>
                  <w:rPr>
                    <w:rFonts w:ascii="Cambria Math" w:hAnsi="Cambria Math"/>
                    <w:i/>
                  </w:rPr>
                </m:ctrlPr>
              </m:sSubPr>
              <m:e>
                <m:r>
                  <w:rPr>
                    <w:rFonts w:ascii="Cambria Math" w:hAnsi="Cambria Math"/>
                  </w:rPr>
                  <m:t>d</m:t>
                </m:r>
              </m:e>
              <m:sub>
                <m:r>
                  <w:rPr>
                    <w:rFonts w:ascii="Cambria Math" w:hAnsi="Cambria Math"/>
                  </w:rPr>
                  <m:t>2</m:t>
                </m:r>
              </m:sub>
            </m:sSub>
          </m:e>
        </m:d>
        <m:r>
          <m:rPr>
            <m:lit/>
          </m:rPr>
          <w:rPr>
            <w:rFonts w:ascii="Cambria Math" w:hAnsi="Cambria Math"/>
          </w:rPr>
          <m:t>/</m:t>
        </m:r>
        <m:r>
          <w:rPr>
            <w:rFonts w:ascii="Cambria Math" w:hAnsi="Cambria Math"/>
          </w:rPr>
          <m:t>2</m:t>
        </m:r>
      </m:oMath>
      <w:r>
        <w:t xml:space="preserve"> приводит к численным расхождениям p-значений, достигающим в ряде случаев (сценарии n05, n07) величины </w:t>
      </w:r>
      <m:oMath>
        <m:r>
          <w:rPr>
            <w:rFonts w:ascii="Cambria Math" w:hAnsi="Cambria Math"/>
          </w:rPr>
          <m:t>&gt;0,5</m:t>
        </m:r>
      </m:oMath>
      <w:r>
        <w:t>. Однако в контексте бинарного принятия решения о статистической значимости (</w:t>
      </w:r>
      <m:oMath>
        <m:r>
          <m:rPr>
            <m:sty m:val="p"/>
          </m:rPr>
          <w:rPr>
            <w:rFonts w:ascii="Cambria Math" w:hAnsi="Cambria Math"/>
          </w:rPr>
          <m:t>α</m:t>
        </m:r>
        <m:r>
          <w:rPr>
            <w:rFonts w:ascii="Cambria Math" w:hAnsi="Cambria Math"/>
          </w:rPr>
          <m:t>= 0,05</m:t>
        </m:r>
      </m:oMath>
      <w:r>
        <w:t xml:space="preserve">) протокол показал высокую устойчивость. Во всех 7 сценариях, где непараметрический тест выявил значимые различия по порогу </w:t>
      </w:r>
      <m:oMath>
        <m:acc>
          <m:accPr>
            <m:ctrlPr>
              <w:rPr>
                <w:rFonts w:ascii="Cambria Math" w:hAnsi="Cambria Math"/>
              </w:rPr>
            </m:ctrlPr>
          </m:accPr>
          <m:e>
            <m:r>
              <w:rPr>
                <w:rFonts w:ascii="Cambria Math" w:hAnsi="Cambria Math"/>
              </w:rPr>
              <m:t>M</m:t>
            </m:r>
          </m:e>
        </m:acc>
      </m:oMath>
      <w:r>
        <w:t>, значимость была подтверждена и точным методом. В пограничном сценарии n01 наблюдалось расхождение (</w:t>
      </w:r>
      <m:oMath>
        <m:sSub>
          <m:sSubPr>
            <m:ctrlPr>
              <w:rPr>
                <w:rFonts w:ascii="Cambria Math" w:hAnsi="Cambria Math"/>
                <w:i/>
              </w:rPr>
            </m:ctrlPr>
          </m:sSubPr>
          <m:e>
            <m:r>
              <w:rPr>
                <w:rFonts w:ascii="Cambria Math" w:hAnsi="Cambria Math"/>
              </w:rPr>
              <m:t>p</m:t>
            </m:r>
          </m:e>
          <m:sub>
            <m:r>
              <w:rPr>
                <w:rFonts w:ascii="Cambria Math" w:hAnsi="Cambria Math"/>
              </w:rPr>
              <m:t>approx</m:t>
            </m:r>
          </m:sub>
        </m:sSub>
        <m:r>
          <w:rPr>
            <w:rFonts w:ascii="Cambria Math" w:hAnsi="Cambria Math"/>
          </w:rPr>
          <m:t>=0,060</m:t>
        </m:r>
      </m:oMath>
      <w:r>
        <w:t xml:space="preserve"> против </w:t>
      </w:r>
      <m:oMath>
        <m:sSub>
          <m:sSubPr>
            <m:ctrlPr>
              <w:rPr>
                <w:rFonts w:ascii="Cambria Math" w:hAnsi="Cambria Math"/>
                <w:i/>
              </w:rPr>
            </m:ctrlPr>
          </m:sSubPr>
          <m:e>
            <m:r>
              <w:rPr>
                <w:rFonts w:ascii="Cambria Math" w:hAnsi="Cambria Math"/>
              </w:rPr>
              <m:t>p</m:t>
            </m:r>
          </m:e>
          <m:sub>
            <m:r>
              <w:rPr>
                <w:rFonts w:ascii="Cambria Math" w:hAnsi="Cambria Math"/>
              </w:rPr>
              <m:t>exact</m:t>
            </m:r>
          </m:sub>
        </m:sSub>
        <m:r>
          <w:rPr>
            <w:rFonts w:ascii="Cambria Math" w:hAnsi="Cambria Math"/>
          </w:rPr>
          <m:t>=0,031</m:t>
        </m:r>
      </m:oMath>
      <w:r>
        <w:t>), которое могло привести к ложноотрицательному результату, однако благодаря предварительному тесту на нормальность данный кейс был направлен по пути критерия Уэлча, обеспечив корректный итоговый вывод. Таким образом, предложенный компромисс позволяет проводить децентрализованный анализ без критической потери диагностической ценности.</w:t>
      </w:r>
    </w:p>
    <w:p>
      <w:r>
        <w:t xml:space="preserve">Режим </w:t>
      </w:r>
      <w:r>
        <w:t xml:space="preserve">симуляции </w:t>
      </w:r>
      <w:r>
        <w:t>(таблица</w:t>
      </w:r>
      <w:r>
        <w:fldChar w:fldCharType="begin"/>
      </w:r>
      <w:r>
        <w:instrText xml:space="preserve"> REF _Ref239677565 \h \##</w:instrText>
      </w:r>
      <w:r>
        <w:fldChar w:fldCharType="separate"/>
      </w:r>
      <w:r>
        <w:t xml:space="preserve"> 1</w:t>
      </w:r>
      <w:r>
        <w:fldChar w:fldCharType="end"/>
      </w:r>
      <w:r>
        <w:t>)</w:t>
      </w:r>
      <w:r>
        <w:t xml:space="preserve"> </w:t>
      </w:r>
      <w:r>
        <w:t xml:space="preserve">использовался для массовой валидации статистической точности протокола на всей выборке сценариев, </w:t>
      </w:r>
      <w:r>
        <w:t>как</w:t>
      </w:r>
      <w:r>
        <w:t xml:space="preserve"> позволя</w:t>
      </w:r>
      <w:r>
        <w:t>ющий</w:t>
      </w:r>
      <w:r>
        <w:t xml:space="preserve"> быстро проверить корректность реализованных математических функций. Режим </w:t>
      </w:r>
      <w:r>
        <w:t xml:space="preserve">полного доказательства </w:t>
      </w:r>
      <w:r>
        <w:t>применялся для оценки эксплуатационных характеристик системы в реальных условиях, подтверждая возможность генерации криптографически стойких доказательств и измеряя вычислительные затраты (время и циклы), необходимые для обеспечения целостности данных в децентрализованной среде</w:t>
      </w:r>
      <w:r>
        <w:t>.</w:t>
      </w:r>
    </w:p>
    <w:p>
      <w:r>
        <w:t xml:space="preserve">Так, в режиме симуляции время выполнения полного цикла сравнения составило менее 1 секунды, что позволяет использовать протокол для быстрой отладки. Генерация полноценных STARK-доказательств потребовала значительных вычислительных ресурсов: время формирования доказательства для малых выборок составило от 368 до </w:t>
      </w:r>
      <w:r>
        <w:t>13 948 секунд (около 3,8 часа)</w:t>
      </w:r>
      <w:r>
        <w:t xml:space="preserve"> </w:t>
      </w:r>
      <w:r>
        <w:t xml:space="preserve">для массивов данных объемом </w:t>
      </w:r>
      <m:oMath>
        <m:r>
          <w:rPr>
            <w:rFonts w:ascii="Cambria Math" w:hAnsi="Cambria Math"/>
          </w:rPr>
          <m:t>n = 1000</m:t>
        </m:r>
      </m:oMath>
      <w:r>
        <w:t xml:space="preserve"> на каждую группу</w:t>
      </w:r>
      <w:r>
        <w:t xml:space="preserve"> (таблица</w:t>
      </w:r>
      <w:r>
        <w:fldChar w:fldCharType="begin"/>
      </w:r>
      <w:r>
        <w:instrText xml:space="preserve"> REF _Ref239677814 \h \##</w:instrText>
      </w:r>
      <w:r>
        <w:fldChar w:fldCharType="separate"/>
      </w:r>
      <w:r>
        <w:t xml:space="preserve"> 3</w:t>
      </w:r>
      <w:r>
        <w:fldChar w:fldCharType="end"/>
      </w:r>
      <w:r>
        <w:t>).</w:t>
      </w:r>
    </w:p>
    <w:p>
      <w:pPr>
        <w:pStyle w:val="af6"/>
      </w:pPr>
      <w:bookmarkStart w:id="2" w:name="_Ref239677814"/>
      <w:r>
        <w:lastRenderedPageBreak/>
        <w:t xml:space="preserve">Таблица </w:t>
      </w:r>
      <w:r>
        <w:fldChar w:fldCharType="begin"/>
      </w:r>
      <w:r>
        <w:instrText xml:space="preserve"> SEQ Таблица \* ARABIC </w:instrText>
      </w:r>
      <w:r>
        <w:fldChar w:fldCharType="separate"/>
      </w:r>
      <w:r>
        <w:rPr>
          <w:noProof/>
        </w:rPr>
        <w:t>3</w:t>
      </w:r>
      <w:r>
        <w:fldChar w:fldCharType="end"/>
      </w:r>
      <w:bookmarkEnd w:id="2"/>
      <w:r>
        <w:t xml:space="preserve">. </w:t>
      </w:r>
      <w:r>
        <w:t>Характеристики генерации полных zk-STARK доказательств</w:t>
      </w:r>
    </w:p>
    <w:tbl>
      <w:tblPr>
        <w:tblStyle w:val="aff0"/>
        <w:tblW w:w="0" w:type="auto"/>
        <w:tblCellMar>
          <w:left w:w="57" w:type="dxa"/>
          <w:right w:w="57" w:type="dxa"/>
        </w:tblCellMar>
        <w:tblLook w:val="04A0" w:firstRow="1" w:lastRow="0" w:firstColumn="1" w:lastColumn="0" w:noHBand="0" w:noVBand="1"/>
      </w:tblPr>
      <w:tblGrid>
        <w:gridCol w:w="520"/>
        <w:gridCol w:w="2770"/>
        <w:gridCol w:w="2557"/>
        <w:gridCol w:w="1034"/>
        <w:gridCol w:w="2122"/>
      </w:tblGrid>
      <w:tr>
        <w:tc>
          <w:tcPr>
            <w:tcW w:w="520" w:type="dxa"/>
            <w:shd w:val="clear" w:color="auto" w:fill="auto"/>
            <w:noWrap/>
            <w:vAlign w:val="center"/>
            <w:hideMark/>
          </w:tcPr>
          <w:p>
            <w:pPr>
              <w:ind w:firstLine="0"/>
              <w:jc w:val="center"/>
              <w:rPr>
                <w:rFonts w:eastAsia="Times New Roman"/>
                <w:b/>
                <w:bCs/>
                <w:color w:val="000000"/>
                <w:szCs w:val="24"/>
                <w:lang w:val="en-US" w:eastAsia="ru-RU"/>
              </w:rPr>
            </w:pPr>
            <w:r>
              <w:rPr>
                <w:rFonts w:eastAsia="Times New Roman"/>
                <w:b/>
                <w:bCs/>
                <w:color w:val="000000"/>
                <w:szCs w:val="24"/>
                <w:lang w:val="en-US" w:eastAsia="ru-RU"/>
              </w:rPr>
              <w:t>ID</w:t>
            </w:r>
          </w:p>
        </w:tc>
        <w:tc>
          <w:tcPr>
            <w:tcW w:w="2770" w:type="dxa"/>
            <w:shd w:val="clear" w:color="auto" w:fill="auto"/>
            <w:noWrap/>
            <w:vAlign w:val="center"/>
            <w:hideMark/>
          </w:tcPr>
          <w:p>
            <w:pPr>
              <w:ind w:firstLine="0"/>
              <w:jc w:val="center"/>
              <w:rPr>
                <w:rFonts w:eastAsia="Times New Roman"/>
                <w:b/>
                <w:bCs/>
                <w:color w:val="000000"/>
                <w:szCs w:val="24"/>
                <w:lang w:eastAsia="ru-RU"/>
              </w:rPr>
            </w:pPr>
            <w:r>
              <w:rPr>
                <w:rFonts w:eastAsia="Times New Roman"/>
                <w:b/>
                <w:bCs/>
                <w:color w:val="000000"/>
                <w:szCs w:val="24"/>
                <w:lang w:eastAsia="ru-RU"/>
              </w:rPr>
              <w:t>Описание</w:t>
            </w:r>
          </w:p>
        </w:tc>
        <w:tc>
          <w:tcPr>
            <w:tcW w:w="2557" w:type="dxa"/>
            <w:shd w:val="clear" w:color="auto" w:fill="auto"/>
            <w:noWrap/>
            <w:vAlign w:val="center"/>
            <w:hideMark/>
          </w:tcPr>
          <w:p>
            <w:pPr>
              <w:ind w:firstLine="0"/>
              <w:jc w:val="center"/>
              <w:rPr>
                <w:rFonts w:eastAsia="Times New Roman"/>
                <w:b/>
                <w:bCs/>
                <w:color w:val="000000"/>
                <w:szCs w:val="24"/>
                <w:lang w:eastAsia="ru-RU"/>
              </w:rPr>
            </w:pPr>
            <w:r>
              <w:rPr>
                <w:rFonts w:eastAsia="Times New Roman"/>
                <w:b/>
                <w:bCs/>
                <w:color w:val="000000"/>
                <w:szCs w:val="24"/>
                <w:lang w:eastAsia="ru-RU"/>
              </w:rPr>
              <w:t>Максимальная относительная ошибка</w:t>
            </w:r>
          </w:p>
        </w:tc>
        <w:tc>
          <w:tcPr>
            <w:tcW w:w="0" w:type="auto"/>
            <w:shd w:val="clear" w:color="auto" w:fill="auto"/>
            <w:noWrap/>
            <w:vAlign w:val="center"/>
            <w:hideMark/>
          </w:tcPr>
          <w:p>
            <w:pPr>
              <w:ind w:firstLine="0"/>
              <w:jc w:val="center"/>
              <w:rPr>
                <w:rFonts w:eastAsia="Times New Roman"/>
                <w:b/>
                <w:bCs/>
                <w:color w:val="000000"/>
                <w:szCs w:val="24"/>
                <w:lang w:eastAsia="ru-RU"/>
              </w:rPr>
            </w:pPr>
            <w:r>
              <w:rPr>
                <w:rFonts w:eastAsia="Times New Roman"/>
                <w:b/>
                <w:bCs/>
                <w:color w:val="000000"/>
                <w:szCs w:val="24"/>
                <w:lang w:eastAsia="ru-RU"/>
              </w:rPr>
              <w:t>Время, с</w:t>
            </w:r>
          </w:p>
        </w:tc>
        <w:tc>
          <w:tcPr>
            <w:tcW w:w="0" w:type="auto"/>
            <w:shd w:val="clear" w:color="auto" w:fill="auto"/>
            <w:noWrap/>
            <w:vAlign w:val="center"/>
            <w:hideMark/>
          </w:tcPr>
          <w:p>
            <w:pPr>
              <w:ind w:firstLine="0"/>
              <w:jc w:val="center"/>
              <w:rPr>
                <w:rFonts w:eastAsia="Times New Roman"/>
                <w:b/>
                <w:bCs/>
                <w:color w:val="000000"/>
                <w:szCs w:val="24"/>
                <w:lang w:eastAsia="ru-RU"/>
              </w:rPr>
            </w:pPr>
            <w:r>
              <w:rPr>
                <w:rFonts w:eastAsia="Times New Roman"/>
                <w:b/>
                <w:bCs/>
                <w:color w:val="000000"/>
                <w:szCs w:val="24"/>
                <w:lang w:eastAsia="ru-RU"/>
              </w:rPr>
              <w:t xml:space="preserve">Циклы </w:t>
            </w:r>
            <w:r>
              <w:rPr>
                <w:rFonts w:eastAsia="Times New Roman"/>
                <w:b/>
                <w:bCs/>
                <w:color w:val="000000"/>
                <w:szCs w:val="24"/>
                <w:lang w:val="en-US" w:eastAsia="ru-RU"/>
              </w:rPr>
              <w:t xml:space="preserve">/ </w:t>
            </w:r>
            <w:r>
              <w:rPr>
                <w:rFonts w:eastAsia="Times New Roman"/>
                <w:b/>
                <w:bCs/>
                <w:color w:val="000000"/>
                <w:szCs w:val="24"/>
                <w:lang w:eastAsia="ru-RU"/>
              </w:rPr>
              <w:t>сегменты</w:t>
            </w:r>
          </w:p>
        </w:tc>
      </w:tr>
      <w:tr>
        <w:tc>
          <w:tcPr>
            <w:tcW w:w="520"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n01</w:t>
            </w:r>
          </w:p>
        </w:tc>
        <w:tc>
          <w:tcPr>
            <w:tcW w:w="2770"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Нормальные, равные (30/25)</w:t>
            </w:r>
          </w:p>
        </w:tc>
        <w:tc>
          <w:tcPr>
            <w:tcW w:w="255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8.40×10</w:t>
            </w:r>
            <w:r>
              <w:rPr>
                <w:rFonts w:eastAsia="Times New Roman"/>
                <w:color w:val="000000"/>
                <w:szCs w:val="24"/>
                <w:vertAlign w:val="superscript"/>
                <w:lang w:eastAsia="ru-RU"/>
              </w:rPr>
              <w:t>-14</w:t>
            </w:r>
          </w:p>
        </w:tc>
        <w:tc>
          <w:tcPr>
            <w:tcW w:w="0" w:type="auto"/>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817</w:t>
            </w:r>
          </w:p>
        </w:tc>
        <w:tc>
          <w:tcPr>
            <w:tcW w:w="0" w:type="auto"/>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1 441 792 /</w:t>
            </w:r>
            <w:r>
              <w:rPr>
                <w:rFonts w:eastAsia="Times New Roman"/>
                <w:color w:val="000000"/>
                <w:szCs w:val="24"/>
                <w:lang w:val="en-US" w:eastAsia="ru-RU"/>
              </w:rPr>
              <w:t xml:space="preserve"> </w:t>
            </w:r>
            <w:r>
              <w:rPr>
                <w:rFonts w:eastAsia="Times New Roman"/>
                <w:color w:val="000000"/>
                <w:szCs w:val="24"/>
                <w:lang w:eastAsia="ru-RU"/>
              </w:rPr>
              <w:t>6</w:t>
            </w:r>
          </w:p>
        </w:tc>
      </w:tr>
      <w:tr>
        <w:tc>
          <w:tcPr>
            <w:tcW w:w="520"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n02</w:t>
            </w:r>
          </w:p>
        </w:tc>
        <w:tc>
          <w:tcPr>
            <w:tcW w:w="2770"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Нормальные, смещение среднего (8/8)</w:t>
            </w:r>
          </w:p>
        </w:tc>
        <w:tc>
          <w:tcPr>
            <w:tcW w:w="2557"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1.50</w:t>
            </w:r>
            <w:r>
              <w:rPr>
                <w:rFonts w:eastAsia="Times New Roman"/>
                <w:color w:val="000000"/>
                <w:szCs w:val="24"/>
                <w:lang w:eastAsia="ru-RU"/>
              </w:rPr>
              <w:t>×10</w:t>
            </w:r>
            <w:r>
              <w:rPr>
                <w:rFonts w:eastAsia="Times New Roman"/>
                <w:color w:val="000000"/>
                <w:szCs w:val="24"/>
                <w:vertAlign w:val="superscript"/>
                <w:lang w:eastAsia="ru-RU"/>
              </w:rPr>
              <w:t>-14</w:t>
            </w:r>
          </w:p>
        </w:tc>
        <w:tc>
          <w:tcPr>
            <w:tcW w:w="0" w:type="auto"/>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515</w:t>
            </w:r>
          </w:p>
        </w:tc>
        <w:tc>
          <w:tcPr>
            <w:tcW w:w="0" w:type="auto"/>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917 504 /</w:t>
            </w:r>
            <w:r>
              <w:rPr>
                <w:rFonts w:eastAsia="Times New Roman"/>
                <w:color w:val="000000"/>
                <w:szCs w:val="24"/>
                <w:lang w:val="en-US" w:eastAsia="ru-RU"/>
              </w:rPr>
              <w:t xml:space="preserve"> </w:t>
            </w:r>
            <w:r>
              <w:rPr>
                <w:rFonts w:eastAsia="Times New Roman"/>
                <w:color w:val="000000"/>
                <w:szCs w:val="24"/>
                <w:lang w:eastAsia="ru-RU"/>
              </w:rPr>
              <w:t>6</w:t>
            </w:r>
          </w:p>
        </w:tc>
      </w:tr>
      <w:tr>
        <w:tc>
          <w:tcPr>
            <w:tcW w:w="520" w:type="dxa"/>
            <w:shd w:val="clear" w:color="auto" w:fill="auto"/>
            <w:noWrap/>
            <w:vAlign w:val="center"/>
          </w:tcPr>
          <w:p>
            <w:pPr>
              <w:ind w:firstLine="0"/>
              <w:jc w:val="center"/>
              <w:rPr>
                <w:szCs w:val="24"/>
                <w:lang w:eastAsia="ru-RU"/>
              </w:rPr>
            </w:pPr>
            <w:r>
              <w:rPr>
                <w:szCs w:val="24"/>
                <w:lang w:eastAsia="ru-RU"/>
              </w:rPr>
              <w:t>n03</w:t>
            </w:r>
          </w:p>
        </w:tc>
        <w:tc>
          <w:tcPr>
            <w:tcW w:w="2770" w:type="dxa"/>
            <w:shd w:val="clear" w:color="auto" w:fill="auto"/>
            <w:noWrap/>
            <w:vAlign w:val="center"/>
          </w:tcPr>
          <w:p>
            <w:pPr>
              <w:ind w:firstLine="0"/>
              <w:jc w:val="center"/>
              <w:rPr>
                <w:szCs w:val="24"/>
                <w:lang w:eastAsia="ru-RU"/>
              </w:rPr>
            </w:pPr>
            <w:r>
              <w:rPr>
                <w:szCs w:val="24"/>
                <w:lang w:eastAsia="ru-RU"/>
              </w:rPr>
              <w:t>Нормальные, неравные дисперсии (60/60)</w:t>
            </w:r>
          </w:p>
        </w:tc>
        <w:tc>
          <w:tcPr>
            <w:tcW w:w="2557" w:type="dxa"/>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5.30</w:t>
            </w:r>
            <w:r>
              <w:rPr>
                <w:rFonts w:eastAsia="Times New Roman"/>
                <w:color w:val="000000"/>
                <w:szCs w:val="24"/>
                <w:lang w:eastAsia="ru-RU"/>
              </w:rPr>
              <w:t>×10</w:t>
            </w:r>
            <w:r>
              <w:rPr>
                <w:rFonts w:eastAsia="Times New Roman"/>
                <w:color w:val="000000"/>
                <w:szCs w:val="24"/>
                <w:vertAlign w:val="superscript"/>
                <w:lang w:eastAsia="ru-RU"/>
              </w:rPr>
              <w:t>-14</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1 402</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2 490 368 / 6</w:t>
            </w:r>
          </w:p>
        </w:tc>
      </w:tr>
      <w:tr>
        <w:tc>
          <w:tcPr>
            <w:tcW w:w="520" w:type="dxa"/>
            <w:shd w:val="clear" w:color="auto" w:fill="auto"/>
            <w:noWrap/>
            <w:vAlign w:val="center"/>
          </w:tcPr>
          <w:p>
            <w:pPr>
              <w:ind w:firstLine="0"/>
              <w:jc w:val="center"/>
              <w:rPr>
                <w:szCs w:val="24"/>
                <w:lang w:eastAsia="ru-RU"/>
              </w:rPr>
            </w:pPr>
            <w:r>
              <w:rPr>
                <w:szCs w:val="24"/>
                <w:lang w:eastAsia="ru-RU"/>
              </w:rPr>
              <w:t>n04</w:t>
            </w:r>
          </w:p>
        </w:tc>
        <w:tc>
          <w:tcPr>
            <w:tcW w:w="2770" w:type="dxa"/>
            <w:shd w:val="clear" w:color="auto" w:fill="auto"/>
            <w:noWrap/>
            <w:vAlign w:val="center"/>
          </w:tcPr>
          <w:p>
            <w:pPr>
              <w:ind w:firstLine="0"/>
              <w:jc w:val="center"/>
              <w:rPr>
                <w:szCs w:val="24"/>
                <w:lang w:eastAsia="ru-RU"/>
              </w:rPr>
            </w:pPr>
            <w:r>
              <w:rPr>
                <w:szCs w:val="24"/>
                <w:lang w:eastAsia="ru-RU"/>
              </w:rPr>
              <w:t>Нормальные, неравные n (200/30)</w:t>
            </w:r>
          </w:p>
        </w:tc>
        <w:tc>
          <w:tcPr>
            <w:tcW w:w="2557" w:type="dxa"/>
            <w:shd w:val="clear" w:color="auto" w:fill="auto"/>
            <w:noWrap/>
            <w:vAlign w:val="bottom"/>
          </w:tcPr>
          <w:p>
            <w:pPr>
              <w:ind w:firstLine="0"/>
              <w:jc w:val="center"/>
              <w:rPr>
                <w:rFonts w:eastAsia="Times New Roman"/>
                <w:color w:val="000000"/>
                <w:szCs w:val="24"/>
                <w:lang w:val="en-US" w:eastAsia="ru-RU"/>
              </w:rPr>
            </w:pPr>
            <w:r>
              <w:rPr>
                <w:rFonts w:eastAsia="Times New Roman"/>
                <w:color w:val="000000"/>
                <w:szCs w:val="24"/>
                <w:lang w:eastAsia="ru-RU"/>
              </w:rPr>
              <w:t>2.59</w:t>
            </w:r>
            <w:r>
              <w:rPr>
                <w:rFonts w:eastAsia="Times New Roman"/>
                <w:color w:val="000000"/>
                <w:szCs w:val="24"/>
                <w:lang w:eastAsia="ru-RU"/>
              </w:rPr>
              <w:t>×10</w:t>
            </w:r>
            <w:r>
              <w:rPr>
                <w:rFonts w:eastAsia="Times New Roman"/>
                <w:color w:val="000000"/>
                <w:szCs w:val="24"/>
                <w:vertAlign w:val="superscript"/>
                <w:lang w:eastAsia="ru-RU"/>
              </w:rPr>
              <w:t>-1</w:t>
            </w:r>
            <w:r>
              <w:rPr>
                <w:rFonts w:eastAsia="Times New Roman"/>
                <w:color w:val="000000"/>
                <w:szCs w:val="24"/>
                <w:vertAlign w:val="superscript"/>
                <w:lang w:val="en-US" w:eastAsia="ru-RU"/>
              </w:rPr>
              <w:t>3</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1 919</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3 407 872 / 8</w:t>
            </w:r>
          </w:p>
        </w:tc>
      </w:tr>
      <w:tr>
        <w:tc>
          <w:tcPr>
            <w:tcW w:w="520" w:type="dxa"/>
            <w:shd w:val="clear" w:color="auto" w:fill="auto"/>
            <w:noWrap/>
            <w:vAlign w:val="center"/>
          </w:tcPr>
          <w:p>
            <w:pPr>
              <w:ind w:firstLine="0"/>
              <w:jc w:val="center"/>
              <w:rPr>
                <w:szCs w:val="24"/>
                <w:lang w:eastAsia="ru-RU"/>
              </w:rPr>
            </w:pPr>
            <w:r>
              <w:rPr>
                <w:szCs w:val="24"/>
                <w:lang w:eastAsia="ru-RU"/>
              </w:rPr>
              <w:t>n05</w:t>
            </w:r>
          </w:p>
        </w:tc>
        <w:tc>
          <w:tcPr>
            <w:tcW w:w="2770" w:type="dxa"/>
            <w:shd w:val="clear" w:color="auto" w:fill="auto"/>
            <w:noWrap/>
            <w:vAlign w:val="center"/>
          </w:tcPr>
          <w:p>
            <w:pPr>
              <w:ind w:firstLine="0"/>
              <w:jc w:val="center"/>
              <w:rPr>
                <w:szCs w:val="24"/>
                <w:lang w:eastAsia="ru-RU"/>
              </w:rPr>
            </w:pPr>
            <w:r>
              <w:rPr>
                <w:szCs w:val="24"/>
                <w:lang w:eastAsia="ru-RU"/>
              </w:rPr>
              <w:t>Нормальные, n = 3/4</w:t>
            </w:r>
          </w:p>
        </w:tc>
        <w:tc>
          <w:tcPr>
            <w:tcW w:w="2557" w:type="dxa"/>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1.21</w:t>
            </w:r>
            <w:r>
              <w:rPr>
                <w:rFonts w:eastAsia="Times New Roman"/>
                <w:color w:val="000000"/>
                <w:szCs w:val="24"/>
                <w:lang w:eastAsia="ru-RU"/>
              </w:rPr>
              <w:t>×10</w:t>
            </w:r>
            <w:r>
              <w:rPr>
                <w:rFonts w:eastAsia="Times New Roman"/>
                <w:color w:val="000000"/>
                <w:szCs w:val="24"/>
                <w:vertAlign w:val="superscript"/>
                <w:lang w:eastAsia="ru-RU"/>
              </w:rPr>
              <w:t>-14</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443</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786 432 / 6</w:t>
            </w:r>
          </w:p>
        </w:tc>
      </w:tr>
      <w:tr>
        <w:tc>
          <w:tcPr>
            <w:tcW w:w="520" w:type="dxa"/>
            <w:shd w:val="clear" w:color="auto" w:fill="auto"/>
            <w:noWrap/>
            <w:vAlign w:val="center"/>
          </w:tcPr>
          <w:p>
            <w:pPr>
              <w:ind w:firstLine="0"/>
              <w:jc w:val="center"/>
              <w:rPr>
                <w:szCs w:val="24"/>
                <w:lang w:eastAsia="ru-RU"/>
              </w:rPr>
            </w:pPr>
            <w:r>
              <w:rPr>
                <w:szCs w:val="24"/>
                <w:lang w:eastAsia="ru-RU"/>
              </w:rPr>
              <w:t>n06</w:t>
            </w:r>
          </w:p>
        </w:tc>
        <w:tc>
          <w:tcPr>
            <w:tcW w:w="2770" w:type="dxa"/>
            <w:shd w:val="clear" w:color="auto" w:fill="auto"/>
            <w:noWrap/>
            <w:vAlign w:val="center"/>
          </w:tcPr>
          <w:p>
            <w:pPr>
              <w:ind w:firstLine="0"/>
              <w:jc w:val="center"/>
              <w:rPr>
                <w:szCs w:val="24"/>
                <w:lang w:eastAsia="ru-RU"/>
              </w:rPr>
            </w:pPr>
            <w:r>
              <w:rPr>
                <w:szCs w:val="24"/>
                <w:lang w:eastAsia="ru-RU"/>
              </w:rPr>
              <w:t>Логнормальные (40/40)</w:t>
            </w:r>
          </w:p>
        </w:tc>
        <w:tc>
          <w:tcPr>
            <w:tcW w:w="2557" w:type="dxa"/>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6.11</w:t>
            </w:r>
            <w:r>
              <w:rPr>
                <w:rFonts w:eastAsia="Times New Roman"/>
                <w:color w:val="000000"/>
                <w:szCs w:val="24"/>
                <w:lang w:eastAsia="ru-RU"/>
              </w:rPr>
              <w:t>×10</w:t>
            </w:r>
            <w:r>
              <w:rPr>
                <w:rFonts w:eastAsia="Times New Roman"/>
                <w:color w:val="000000"/>
                <w:szCs w:val="24"/>
                <w:vertAlign w:val="superscript"/>
                <w:lang w:eastAsia="ru-RU"/>
              </w:rPr>
              <w:t>-14</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2 731</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4 849 792 / 8</w:t>
            </w:r>
          </w:p>
        </w:tc>
      </w:tr>
      <w:tr>
        <w:tc>
          <w:tcPr>
            <w:tcW w:w="520" w:type="dxa"/>
            <w:shd w:val="clear" w:color="auto" w:fill="auto"/>
            <w:noWrap/>
            <w:vAlign w:val="center"/>
          </w:tcPr>
          <w:p>
            <w:pPr>
              <w:ind w:firstLine="0"/>
              <w:jc w:val="center"/>
              <w:rPr>
                <w:szCs w:val="24"/>
                <w:lang w:eastAsia="ru-RU"/>
              </w:rPr>
            </w:pPr>
            <w:r>
              <w:rPr>
                <w:szCs w:val="24"/>
                <w:lang w:eastAsia="ru-RU"/>
              </w:rPr>
              <w:t>n07</w:t>
            </w:r>
          </w:p>
        </w:tc>
        <w:tc>
          <w:tcPr>
            <w:tcW w:w="2770" w:type="dxa"/>
            <w:shd w:val="clear" w:color="auto" w:fill="auto"/>
            <w:noWrap/>
            <w:vAlign w:val="center"/>
          </w:tcPr>
          <w:p>
            <w:pPr>
              <w:ind w:firstLine="0"/>
              <w:jc w:val="center"/>
              <w:rPr>
                <w:szCs w:val="24"/>
                <w:lang w:eastAsia="ru-RU"/>
              </w:rPr>
            </w:pPr>
            <w:r>
              <w:rPr>
                <w:szCs w:val="24"/>
                <w:lang w:eastAsia="ru-RU"/>
              </w:rPr>
              <w:t>Гамма, shape = 2 (40/40)</w:t>
            </w:r>
          </w:p>
        </w:tc>
        <w:tc>
          <w:tcPr>
            <w:tcW w:w="2557" w:type="dxa"/>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6.91</w:t>
            </w:r>
            <w:r>
              <w:rPr>
                <w:rFonts w:eastAsia="Times New Roman"/>
                <w:color w:val="000000"/>
                <w:szCs w:val="24"/>
                <w:lang w:eastAsia="ru-RU"/>
              </w:rPr>
              <w:t>×10</w:t>
            </w:r>
            <w:r>
              <w:rPr>
                <w:rFonts w:eastAsia="Times New Roman"/>
                <w:color w:val="000000"/>
                <w:szCs w:val="24"/>
                <w:vertAlign w:val="superscript"/>
                <w:lang w:eastAsia="ru-RU"/>
              </w:rPr>
              <w:t>-14</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3 026</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5 373 952 / 8</w:t>
            </w:r>
          </w:p>
        </w:tc>
      </w:tr>
      <w:tr>
        <w:tc>
          <w:tcPr>
            <w:tcW w:w="520" w:type="dxa"/>
            <w:shd w:val="clear" w:color="auto" w:fill="auto"/>
            <w:noWrap/>
            <w:vAlign w:val="center"/>
          </w:tcPr>
          <w:p>
            <w:pPr>
              <w:ind w:firstLine="0"/>
              <w:jc w:val="center"/>
              <w:rPr>
                <w:szCs w:val="24"/>
                <w:lang w:eastAsia="ru-RU"/>
              </w:rPr>
            </w:pPr>
            <w:r>
              <w:rPr>
                <w:szCs w:val="24"/>
                <w:lang w:eastAsia="ru-RU"/>
              </w:rPr>
              <w:t>n08</w:t>
            </w:r>
          </w:p>
        </w:tc>
        <w:tc>
          <w:tcPr>
            <w:tcW w:w="2770" w:type="dxa"/>
            <w:shd w:val="clear" w:color="auto" w:fill="auto"/>
            <w:noWrap/>
            <w:vAlign w:val="center"/>
          </w:tcPr>
          <w:p>
            <w:pPr>
              <w:ind w:firstLine="0"/>
              <w:jc w:val="center"/>
              <w:rPr>
                <w:szCs w:val="24"/>
                <w:lang w:eastAsia="ru-RU"/>
              </w:rPr>
            </w:pPr>
            <w:r>
              <w:rPr>
                <w:szCs w:val="24"/>
                <w:lang w:eastAsia="ru-RU"/>
              </w:rPr>
              <w:t>Экспоненциальные (50/50)</w:t>
            </w:r>
          </w:p>
        </w:tc>
        <w:tc>
          <w:tcPr>
            <w:tcW w:w="2557" w:type="dxa"/>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4.80</w:t>
            </w:r>
            <w:r>
              <w:rPr>
                <w:rFonts w:eastAsia="Times New Roman"/>
                <w:color w:val="000000"/>
                <w:szCs w:val="24"/>
                <w:lang w:eastAsia="ru-RU"/>
              </w:rPr>
              <w:t>×10</w:t>
            </w:r>
            <w:r>
              <w:rPr>
                <w:rFonts w:eastAsia="Times New Roman"/>
                <w:color w:val="000000"/>
                <w:szCs w:val="24"/>
                <w:vertAlign w:val="superscript"/>
                <w:lang w:eastAsia="ru-RU"/>
              </w:rPr>
              <w:t>-14</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3 173</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5 635 584 / 9</w:t>
            </w:r>
          </w:p>
        </w:tc>
      </w:tr>
      <w:tr>
        <w:tc>
          <w:tcPr>
            <w:tcW w:w="520" w:type="dxa"/>
            <w:shd w:val="clear" w:color="auto" w:fill="auto"/>
            <w:noWrap/>
            <w:vAlign w:val="center"/>
          </w:tcPr>
          <w:p>
            <w:pPr>
              <w:ind w:firstLine="0"/>
              <w:jc w:val="center"/>
              <w:rPr>
                <w:szCs w:val="24"/>
                <w:lang w:eastAsia="ru-RU"/>
              </w:rPr>
            </w:pPr>
            <w:r>
              <w:rPr>
                <w:szCs w:val="24"/>
                <w:lang w:eastAsia="ru-RU"/>
              </w:rPr>
              <w:t>n09</w:t>
            </w:r>
          </w:p>
        </w:tc>
        <w:tc>
          <w:tcPr>
            <w:tcW w:w="2770" w:type="dxa"/>
            <w:shd w:val="clear" w:color="auto" w:fill="auto"/>
            <w:noWrap/>
            <w:vAlign w:val="center"/>
          </w:tcPr>
          <w:p>
            <w:pPr>
              <w:ind w:firstLine="0"/>
              <w:jc w:val="center"/>
              <w:rPr>
                <w:szCs w:val="24"/>
                <w:lang w:eastAsia="ru-RU"/>
              </w:rPr>
            </w:pPr>
            <w:r>
              <w:rPr>
                <w:szCs w:val="24"/>
                <w:lang w:eastAsia="ru-RU"/>
              </w:rPr>
              <w:t>Равномерные (35/35)</w:t>
            </w:r>
          </w:p>
        </w:tc>
        <w:tc>
          <w:tcPr>
            <w:tcW w:w="2557" w:type="dxa"/>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7.06</w:t>
            </w:r>
            <w:r>
              <w:rPr>
                <w:rFonts w:eastAsia="Times New Roman"/>
                <w:color w:val="000000"/>
                <w:szCs w:val="24"/>
                <w:lang w:eastAsia="ru-RU"/>
              </w:rPr>
              <w:t>×10</w:t>
            </w:r>
            <w:r>
              <w:rPr>
                <w:rFonts w:eastAsia="Times New Roman"/>
                <w:color w:val="000000"/>
                <w:szCs w:val="24"/>
                <w:vertAlign w:val="superscript"/>
                <w:lang w:eastAsia="ru-RU"/>
              </w:rPr>
              <w:t>-14</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2 435</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4 324 992 / 8</w:t>
            </w:r>
          </w:p>
        </w:tc>
      </w:tr>
      <w:tr>
        <w:tc>
          <w:tcPr>
            <w:tcW w:w="520" w:type="dxa"/>
            <w:shd w:val="clear" w:color="auto" w:fill="auto"/>
            <w:noWrap/>
            <w:vAlign w:val="center"/>
          </w:tcPr>
          <w:p>
            <w:pPr>
              <w:ind w:firstLine="0"/>
              <w:jc w:val="center"/>
              <w:rPr>
                <w:szCs w:val="24"/>
                <w:lang w:eastAsia="ru-RU"/>
              </w:rPr>
            </w:pPr>
            <w:r>
              <w:rPr>
                <w:szCs w:val="24"/>
                <w:lang w:eastAsia="ru-RU"/>
              </w:rPr>
              <w:t>n10</w:t>
            </w:r>
          </w:p>
        </w:tc>
        <w:tc>
          <w:tcPr>
            <w:tcW w:w="2770" w:type="dxa"/>
            <w:shd w:val="clear" w:color="auto" w:fill="auto"/>
            <w:noWrap/>
            <w:vAlign w:val="center"/>
          </w:tcPr>
          <w:p>
            <w:pPr>
              <w:ind w:firstLine="0"/>
              <w:jc w:val="center"/>
              <w:rPr>
                <w:szCs w:val="24"/>
                <w:lang w:eastAsia="ru-RU"/>
              </w:rPr>
            </w:pPr>
            <w:r>
              <w:rPr>
                <w:szCs w:val="24"/>
                <w:lang w:eastAsia="ru-RU"/>
              </w:rPr>
              <w:t>t</w:t>
            </w:r>
            <w:r>
              <w:rPr>
                <w:szCs w:val="24"/>
                <w:vertAlign w:val="subscript"/>
                <w:lang w:val="en-US" w:eastAsia="ru-RU"/>
              </w:rPr>
              <w:t>3</w:t>
            </w:r>
            <w:r>
              <w:rPr>
                <w:szCs w:val="24"/>
                <w:lang w:eastAsia="ru-RU"/>
              </w:rPr>
              <w:t>, тяжёлый хвост (45/45)</w:t>
            </w:r>
          </w:p>
        </w:tc>
        <w:tc>
          <w:tcPr>
            <w:tcW w:w="2557" w:type="dxa"/>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9.22</w:t>
            </w:r>
            <w:r>
              <w:rPr>
                <w:rFonts w:eastAsia="Times New Roman"/>
                <w:color w:val="000000"/>
                <w:szCs w:val="24"/>
                <w:lang w:eastAsia="ru-RU"/>
              </w:rPr>
              <w:t>×10</w:t>
            </w:r>
            <w:r>
              <w:rPr>
                <w:rFonts w:eastAsia="Times New Roman"/>
                <w:color w:val="000000"/>
                <w:szCs w:val="24"/>
                <w:vertAlign w:val="superscript"/>
                <w:lang w:eastAsia="ru-RU"/>
              </w:rPr>
              <w:t>-14</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3 173</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5 635 584 / 9</w:t>
            </w:r>
          </w:p>
        </w:tc>
      </w:tr>
      <w:tr>
        <w:tc>
          <w:tcPr>
            <w:tcW w:w="520" w:type="dxa"/>
            <w:shd w:val="clear" w:color="auto" w:fill="auto"/>
            <w:noWrap/>
            <w:vAlign w:val="center"/>
          </w:tcPr>
          <w:p>
            <w:pPr>
              <w:ind w:firstLine="0"/>
              <w:jc w:val="center"/>
              <w:rPr>
                <w:szCs w:val="24"/>
                <w:lang w:eastAsia="ru-RU"/>
              </w:rPr>
            </w:pPr>
            <w:r>
              <w:rPr>
                <w:szCs w:val="24"/>
                <w:lang w:eastAsia="ru-RU"/>
              </w:rPr>
              <w:t>n11</w:t>
            </w:r>
          </w:p>
        </w:tc>
        <w:tc>
          <w:tcPr>
            <w:tcW w:w="2770" w:type="dxa"/>
            <w:shd w:val="clear" w:color="auto" w:fill="auto"/>
            <w:noWrap/>
            <w:vAlign w:val="center"/>
          </w:tcPr>
          <w:p>
            <w:pPr>
              <w:ind w:firstLine="0"/>
              <w:jc w:val="center"/>
              <w:rPr>
                <w:szCs w:val="24"/>
                <w:lang w:eastAsia="ru-RU"/>
              </w:rPr>
            </w:pPr>
            <w:r>
              <w:rPr>
                <w:szCs w:val="24"/>
                <w:lang w:eastAsia="ru-RU"/>
              </w:rPr>
              <w:t>Бимодальная смесь (40/40)</w:t>
            </w:r>
          </w:p>
        </w:tc>
        <w:tc>
          <w:tcPr>
            <w:tcW w:w="2557" w:type="dxa"/>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5.06</w:t>
            </w:r>
            <w:r>
              <w:rPr>
                <w:rFonts w:eastAsia="Times New Roman"/>
                <w:color w:val="000000"/>
                <w:szCs w:val="24"/>
                <w:lang w:eastAsia="ru-RU"/>
              </w:rPr>
              <w:t>×10</w:t>
            </w:r>
            <w:r>
              <w:rPr>
                <w:rFonts w:eastAsia="Times New Roman"/>
                <w:color w:val="000000"/>
                <w:szCs w:val="24"/>
                <w:vertAlign w:val="superscript"/>
                <w:lang w:eastAsia="ru-RU"/>
              </w:rPr>
              <w:t>-14</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3 026</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5 373 952 / 8</w:t>
            </w:r>
          </w:p>
        </w:tc>
      </w:tr>
      <w:tr>
        <w:tc>
          <w:tcPr>
            <w:tcW w:w="520" w:type="dxa"/>
            <w:shd w:val="clear" w:color="auto" w:fill="auto"/>
            <w:noWrap/>
            <w:vAlign w:val="center"/>
          </w:tcPr>
          <w:p>
            <w:pPr>
              <w:ind w:firstLine="0"/>
              <w:jc w:val="center"/>
              <w:rPr>
                <w:szCs w:val="24"/>
                <w:lang w:eastAsia="ru-RU"/>
              </w:rPr>
            </w:pPr>
            <w:r>
              <w:rPr>
                <w:szCs w:val="24"/>
                <w:lang w:eastAsia="ru-RU"/>
              </w:rPr>
              <w:t>n12</w:t>
            </w:r>
          </w:p>
        </w:tc>
        <w:tc>
          <w:tcPr>
            <w:tcW w:w="2770" w:type="dxa"/>
            <w:shd w:val="clear" w:color="auto" w:fill="auto"/>
            <w:noWrap/>
            <w:vAlign w:val="center"/>
          </w:tcPr>
          <w:p>
            <w:pPr>
              <w:ind w:firstLine="0"/>
              <w:jc w:val="center"/>
              <w:rPr>
                <w:szCs w:val="24"/>
                <w:lang w:eastAsia="ru-RU"/>
              </w:rPr>
            </w:pPr>
            <w:r>
              <w:rPr>
                <w:szCs w:val="24"/>
                <w:lang w:eastAsia="ru-RU"/>
              </w:rPr>
              <w:t>Дискретные 1:5 (50/50)</w:t>
            </w:r>
          </w:p>
        </w:tc>
        <w:tc>
          <w:tcPr>
            <w:tcW w:w="2557" w:type="dxa"/>
            <w:shd w:val="clear" w:color="auto" w:fill="auto"/>
            <w:noWrap/>
            <w:vAlign w:val="bottom"/>
          </w:tcPr>
          <w:p>
            <w:pPr>
              <w:ind w:firstLine="0"/>
              <w:jc w:val="center"/>
              <w:rPr>
                <w:rFonts w:eastAsia="Times New Roman"/>
                <w:color w:val="000000"/>
                <w:szCs w:val="24"/>
                <w:lang w:val="en-US" w:eastAsia="ru-RU"/>
              </w:rPr>
            </w:pPr>
            <w:r>
              <w:rPr>
                <w:rFonts w:eastAsia="Times New Roman"/>
                <w:color w:val="000000"/>
                <w:szCs w:val="24"/>
                <w:lang w:eastAsia="ru-RU"/>
              </w:rPr>
              <w:t>8.34</w:t>
            </w:r>
            <w:r>
              <w:rPr>
                <w:rFonts w:eastAsia="Times New Roman"/>
                <w:color w:val="000000"/>
                <w:szCs w:val="24"/>
                <w:lang w:eastAsia="ru-RU"/>
              </w:rPr>
              <w:t>×10</w:t>
            </w:r>
            <w:r>
              <w:rPr>
                <w:rFonts w:eastAsia="Times New Roman"/>
                <w:color w:val="000000"/>
                <w:szCs w:val="24"/>
                <w:vertAlign w:val="superscript"/>
                <w:lang w:eastAsia="ru-RU"/>
              </w:rPr>
              <w:t>-1</w:t>
            </w:r>
            <w:r>
              <w:rPr>
                <w:rFonts w:eastAsia="Times New Roman"/>
                <w:color w:val="000000"/>
                <w:szCs w:val="24"/>
                <w:vertAlign w:val="superscript"/>
                <w:lang w:val="en-US" w:eastAsia="ru-RU"/>
              </w:rPr>
              <w:t>5</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3 026</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5 373 952 / 8</w:t>
            </w:r>
          </w:p>
        </w:tc>
      </w:tr>
      <w:tr>
        <w:tc>
          <w:tcPr>
            <w:tcW w:w="520" w:type="dxa"/>
            <w:shd w:val="clear" w:color="auto" w:fill="auto"/>
            <w:noWrap/>
            <w:vAlign w:val="center"/>
          </w:tcPr>
          <w:p>
            <w:pPr>
              <w:ind w:firstLine="0"/>
              <w:jc w:val="center"/>
              <w:rPr>
                <w:szCs w:val="24"/>
                <w:lang w:eastAsia="ru-RU"/>
              </w:rPr>
            </w:pPr>
            <w:r>
              <w:rPr>
                <w:szCs w:val="24"/>
                <w:lang w:eastAsia="ru-RU"/>
              </w:rPr>
              <w:t>n13</w:t>
            </w:r>
          </w:p>
        </w:tc>
        <w:tc>
          <w:tcPr>
            <w:tcW w:w="2770" w:type="dxa"/>
            <w:shd w:val="clear" w:color="auto" w:fill="auto"/>
            <w:noWrap/>
            <w:vAlign w:val="center"/>
          </w:tcPr>
          <w:p>
            <w:pPr>
              <w:ind w:firstLine="0"/>
              <w:jc w:val="center"/>
              <w:rPr>
                <w:szCs w:val="24"/>
                <w:lang w:eastAsia="ru-RU"/>
              </w:rPr>
            </w:pPr>
            <w:r>
              <w:rPr>
                <w:szCs w:val="24"/>
                <w:lang w:eastAsia="ru-RU"/>
              </w:rPr>
              <w:t>Крупные нормальные (1000/1000)</w:t>
            </w:r>
          </w:p>
        </w:tc>
        <w:tc>
          <w:tcPr>
            <w:tcW w:w="2557" w:type="dxa"/>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1.82</w:t>
            </w:r>
            <w:r>
              <w:rPr>
                <w:rFonts w:eastAsia="Times New Roman"/>
                <w:color w:val="000000"/>
                <w:szCs w:val="24"/>
                <w:lang w:eastAsia="ru-RU"/>
              </w:rPr>
              <w:t>×10</w:t>
            </w:r>
            <w:r>
              <w:rPr>
                <w:rFonts w:eastAsia="Times New Roman"/>
                <w:color w:val="000000"/>
                <w:szCs w:val="24"/>
                <w:vertAlign w:val="superscript"/>
                <w:lang w:eastAsia="ru-RU"/>
              </w:rPr>
              <w:t>-14</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13 948</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24 772 608 / 28</w:t>
            </w:r>
          </w:p>
        </w:tc>
      </w:tr>
      <w:tr>
        <w:tc>
          <w:tcPr>
            <w:tcW w:w="520" w:type="dxa"/>
            <w:shd w:val="clear" w:color="auto" w:fill="auto"/>
            <w:noWrap/>
            <w:vAlign w:val="center"/>
          </w:tcPr>
          <w:p>
            <w:pPr>
              <w:ind w:firstLine="0"/>
              <w:jc w:val="center"/>
              <w:rPr>
                <w:szCs w:val="24"/>
                <w:lang w:eastAsia="ru-RU"/>
              </w:rPr>
            </w:pPr>
            <w:r>
              <w:rPr>
                <w:szCs w:val="24"/>
                <w:lang w:eastAsia="ru-RU"/>
              </w:rPr>
              <w:t>n14</w:t>
            </w:r>
          </w:p>
        </w:tc>
        <w:tc>
          <w:tcPr>
            <w:tcW w:w="2770" w:type="dxa"/>
            <w:shd w:val="clear" w:color="auto" w:fill="auto"/>
            <w:noWrap/>
            <w:vAlign w:val="center"/>
          </w:tcPr>
          <w:p>
            <w:pPr>
              <w:ind w:firstLine="0"/>
              <w:jc w:val="center"/>
              <w:rPr>
                <w:szCs w:val="24"/>
                <w:lang w:eastAsia="ru-RU"/>
              </w:rPr>
            </w:pPr>
            <w:r>
              <w:rPr>
                <w:szCs w:val="24"/>
                <w:lang w:eastAsia="ru-RU"/>
              </w:rPr>
              <w:t>Граница n = 11/12</w:t>
            </w:r>
          </w:p>
        </w:tc>
        <w:tc>
          <w:tcPr>
            <w:tcW w:w="2557" w:type="dxa"/>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1.18</w:t>
            </w:r>
            <w:r>
              <w:rPr>
                <w:rFonts w:eastAsia="Times New Roman"/>
                <w:color w:val="000000"/>
                <w:szCs w:val="24"/>
                <w:lang w:eastAsia="ru-RU"/>
              </w:rPr>
              <w:t>×10</w:t>
            </w:r>
            <w:r>
              <w:rPr>
                <w:rFonts w:eastAsia="Times New Roman"/>
                <w:color w:val="000000"/>
                <w:szCs w:val="24"/>
                <w:vertAlign w:val="superscript"/>
                <w:lang w:eastAsia="ru-RU"/>
              </w:rPr>
              <w:t>-14</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517</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917 504 / 6</w:t>
            </w:r>
          </w:p>
        </w:tc>
      </w:tr>
      <w:tr>
        <w:tc>
          <w:tcPr>
            <w:tcW w:w="520"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n16</w:t>
            </w:r>
          </w:p>
        </w:tc>
        <w:tc>
          <w:tcPr>
            <w:tcW w:w="2770" w:type="dxa"/>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t</w:t>
            </w:r>
            <w:r>
              <w:rPr>
                <w:rFonts w:eastAsia="Times New Roman"/>
                <w:color w:val="000000"/>
                <w:szCs w:val="24"/>
                <w:vertAlign w:val="subscript"/>
                <w:lang w:val="en-US" w:eastAsia="ru-RU"/>
              </w:rPr>
              <w:t>2</w:t>
            </w:r>
            <w:r>
              <w:rPr>
                <w:rFonts w:eastAsia="Times New Roman"/>
                <w:color w:val="000000"/>
                <w:szCs w:val="24"/>
                <w:lang w:eastAsia="ru-RU"/>
              </w:rPr>
              <w:t>, (3/3)</w:t>
            </w:r>
          </w:p>
        </w:tc>
        <w:tc>
          <w:tcPr>
            <w:tcW w:w="2557" w:type="dxa"/>
            <w:shd w:val="clear" w:color="auto" w:fill="auto"/>
            <w:noWrap/>
            <w:vAlign w:val="center"/>
            <w:hideMark/>
          </w:tcPr>
          <w:p>
            <w:pPr>
              <w:ind w:firstLine="0"/>
              <w:jc w:val="center"/>
              <w:rPr>
                <w:rFonts w:eastAsia="Times New Roman"/>
                <w:color w:val="000000"/>
                <w:szCs w:val="24"/>
                <w:lang w:val="en-US" w:eastAsia="ru-RU"/>
              </w:rPr>
            </w:pPr>
            <w:r>
              <w:rPr>
                <w:rFonts w:eastAsia="Times New Roman"/>
                <w:color w:val="000000"/>
                <w:szCs w:val="24"/>
                <w:lang w:eastAsia="ru-RU"/>
              </w:rPr>
              <w:t>5.60</w:t>
            </w:r>
            <w:r>
              <w:rPr>
                <w:rFonts w:eastAsia="Times New Roman"/>
                <w:color w:val="000000"/>
                <w:szCs w:val="24"/>
                <w:lang w:eastAsia="ru-RU"/>
              </w:rPr>
              <w:t>×10</w:t>
            </w:r>
            <w:r>
              <w:rPr>
                <w:rFonts w:eastAsia="Times New Roman"/>
                <w:color w:val="000000"/>
                <w:szCs w:val="24"/>
                <w:vertAlign w:val="superscript"/>
                <w:lang w:eastAsia="ru-RU"/>
              </w:rPr>
              <w:t>-1</w:t>
            </w:r>
            <w:r>
              <w:rPr>
                <w:rFonts w:eastAsia="Times New Roman"/>
                <w:color w:val="000000"/>
                <w:szCs w:val="24"/>
                <w:vertAlign w:val="superscript"/>
                <w:lang w:val="en-US" w:eastAsia="ru-RU"/>
              </w:rPr>
              <w:t>5</w:t>
            </w:r>
          </w:p>
        </w:tc>
        <w:tc>
          <w:tcPr>
            <w:tcW w:w="0" w:type="auto"/>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368</w:t>
            </w:r>
          </w:p>
        </w:tc>
        <w:tc>
          <w:tcPr>
            <w:tcW w:w="0" w:type="auto"/>
            <w:shd w:val="clear" w:color="auto" w:fill="auto"/>
            <w:noWrap/>
            <w:vAlign w:val="center"/>
            <w:hideMark/>
          </w:tcPr>
          <w:p>
            <w:pPr>
              <w:ind w:firstLine="0"/>
              <w:jc w:val="center"/>
              <w:rPr>
                <w:rFonts w:eastAsia="Times New Roman"/>
                <w:color w:val="000000"/>
                <w:szCs w:val="24"/>
                <w:lang w:eastAsia="ru-RU"/>
              </w:rPr>
            </w:pPr>
            <w:r>
              <w:rPr>
                <w:rFonts w:eastAsia="Times New Roman"/>
                <w:color w:val="000000"/>
                <w:szCs w:val="24"/>
                <w:lang w:eastAsia="ru-RU"/>
              </w:rPr>
              <w:t>655 360 /</w:t>
            </w:r>
            <w:r>
              <w:rPr>
                <w:rFonts w:eastAsia="Times New Roman"/>
                <w:color w:val="000000"/>
                <w:szCs w:val="24"/>
                <w:lang w:val="en-US" w:eastAsia="ru-RU"/>
              </w:rPr>
              <w:t xml:space="preserve"> </w:t>
            </w:r>
            <w:r>
              <w:rPr>
                <w:rFonts w:eastAsia="Times New Roman"/>
                <w:color w:val="000000"/>
                <w:szCs w:val="24"/>
                <w:lang w:eastAsia="ru-RU"/>
              </w:rPr>
              <w:t>6</w:t>
            </w:r>
          </w:p>
        </w:tc>
      </w:tr>
      <w:tr>
        <w:tc>
          <w:tcPr>
            <w:tcW w:w="520" w:type="dxa"/>
            <w:shd w:val="clear" w:color="auto" w:fill="auto"/>
            <w:noWrap/>
            <w:vAlign w:val="center"/>
          </w:tcPr>
          <w:p>
            <w:pPr>
              <w:ind w:firstLine="0"/>
              <w:jc w:val="center"/>
              <w:rPr>
                <w:szCs w:val="24"/>
                <w:lang w:eastAsia="ru-RU"/>
              </w:rPr>
            </w:pPr>
            <w:r>
              <w:rPr>
                <w:szCs w:val="24"/>
                <w:lang w:eastAsia="ru-RU"/>
              </w:rPr>
              <w:t>n17</w:t>
            </w:r>
          </w:p>
        </w:tc>
        <w:tc>
          <w:tcPr>
            <w:tcW w:w="2770" w:type="dxa"/>
            <w:shd w:val="clear" w:color="auto" w:fill="auto"/>
            <w:noWrap/>
            <w:vAlign w:val="center"/>
          </w:tcPr>
          <w:p>
            <w:pPr>
              <w:ind w:firstLine="0"/>
              <w:jc w:val="center"/>
              <w:rPr>
                <w:szCs w:val="24"/>
                <w:lang w:eastAsia="ru-RU"/>
              </w:rPr>
            </w:pPr>
            <w:r>
              <w:rPr>
                <w:szCs w:val="24"/>
                <w:lang w:eastAsia="ru-RU"/>
              </w:rPr>
              <w:t>Полунормальные (38/38)</w:t>
            </w:r>
          </w:p>
        </w:tc>
        <w:tc>
          <w:tcPr>
            <w:tcW w:w="2557" w:type="dxa"/>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6.31</w:t>
            </w:r>
            <w:r>
              <w:rPr>
                <w:rFonts w:eastAsia="Times New Roman"/>
                <w:color w:val="000000"/>
                <w:szCs w:val="24"/>
                <w:lang w:eastAsia="ru-RU"/>
              </w:rPr>
              <w:t>×10</w:t>
            </w:r>
            <w:r>
              <w:rPr>
                <w:rFonts w:eastAsia="Times New Roman"/>
                <w:color w:val="000000"/>
                <w:szCs w:val="24"/>
                <w:vertAlign w:val="superscript"/>
                <w:lang w:eastAsia="ru-RU"/>
              </w:rPr>
              <w:t>-14</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3 026</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5 373 952 / 8</w:t>
            </w:r>
          </w:p>
        </w:tc>
      </w:tr>
      <w:tr>
        <w:tc>
          <w:tcPr>
            <w:tcW w:w="520" w:type="dxa"/>
            <w:shd w:val="clear" w:color="auto" w:fill="auto"/>
            <w:noWrap/>
            <w:vAlign w:val="center"/>
          </w:tcPr>
          <w:p>
            <w:pPr>
              <w:ind w:firstLine="0"/>
              <w:jc w:val="center"/>
              <w:rPr>
                <w:szCs w:val="24"/>
                <w:lang w:eastAsia="ru-RU"/>
              </w:rPr>
            </w:pPr>
            <w:r>
              <w:rPr>
                <w:szCs w:val="24"/>
                <w:lang w:eastAsia="ru-RU"/>
              </w:rPr>
              <w:t>n18</w:t>
            </w:r>
          </w:p>
        </w:tc>
        <w:tc>
          <w:tcPr>
            <w:tcW w:w="2770" w:type="dxa"/>
            <w:shd w:val="clear" w:color="auto" w:fill="auto"/>
            <w:noWrap/>
            <w:vAlign w:val="center"/>
          </w:tcPr>
          <w:p>
            <w:pPr>
              <w:ind w:firstLine="0"/>
              <w:jc w:val="center"/>
              <w:rPr>
                <w:szCs w:val="24"/>
                <w:lang w:eastAsia="ru-RU"/>
              </w:rPr>
            </w:pPr>
            <w:r>
              <w:rPr>
                <w:szCs w:val="24"/>
                <w:lang w:eastAsia="ru-RU"/>
              </w:rPr>
              <w:t>Пуассоновские счёта (60/60)</w:t>
            </w:r>
          </w:p>
        </w:tc>
        <w:tc>
          <w:tcPr>
            <w:tcW w:w="2557" w:type="dxa"/>
            <w:shd w:val="clear" w:color="auto" w:fill="auto"/>
            <w:noWrap/>
            <w:vAlign w:val="bottom"/>
          </w:tcPr>
          <w:p>
            <w:pPr>
              <w:ind w:firstLine="0"/>
              <w:jc w:val="center"/>
              <w:rPr>
                <w:rFonts w:eastAsia="Times New Roman"/>
                <w:color w:val="000000"/>
                <w:szCs w:val="24"/>
                <w:lang w:val="en-US" w:eastAsia="ru-RU"/>
              </w:rPr>
            </w:pPr>
            <w:r>
              <w:rPr>
                <w:rFonts w:eastAsia="Times New Roman"/>
                <w:color w:val="000000"/>
                <w:szCs w:val="24"/>
                <w:lang w:eastAsia="ru-RU"/>
              </w:rPr>
              <w:t>1.77</w:t>
            </w:r>
            <w:r>
              <w:rPr>
                <w:rFonts w:eastAsia="Times New Roman"/>
                <w:color w:val="000000"/>
                <w:szCs w:val="24"/>
                <w:lang w:eastAsia="ru-RU"/>
              </w:rPr>
              <w:t>×10</w:t>
            </w:r>
            <w:r>
              <w:rPr>
                <w:rFonts w:eastAsia="Times New Roman"/>
                <w:color w:val="000000"/>
                <w:szCs w:val="24"/>
                <w:vertAlign w:val="superscript"/>
                <w:lang w:eastAsia="ru-RU"/>
              </w:rPr>
              <w:t>-1</w:t>
            </w:r>
            <w:r>
              <w:rPr>
                <w:rFonts w:eastAsia="Times New Roman"/>
                <w:color w:val="000000"/>
                <w:szCs w:val="24"/>
                <w:vertAlign w:val="superscript"/>
                <w:lang w:val="en-US" w:eastAsia="ru-RU"/>
              </w:rPr>
              <w:t>3</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3 616</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6 422 528 / 9</w:t>
            </w:r>
          </w:p>
        </w:tc>
      </w:tr>
      <w:tr>
        <w:tc>
          <w:tcPr>
            <w:tcW w:w="520" w:type="dxa"/>
            <w:shd w:val="clear" w:color="auto" w:fill="auto"/>
            <w:noWrap/>
            <w:vAlign w:val="center"/>
          </w:tcPr>
          <w:p>
            <w:pPr>
              <w:ind w:firstLine="0"/>
              <w:jc w:val="center"/>
              <w:rPr>
                <w:szCs w:val="24"/>
                <w:lang w:eastAsia="ru-RU"/>
              </w:rPr>
            </w:pPr>
            <w:r>
              <w:rPr>
                <w:szCs w:val="24"/>
                <w:lang w:eastAsia="ru-RU"/>
              </w:rPr>
              <w:t>n19</w:t>
            </w:r>
          </w:p>
        </w:tc>
        <w:tc>
          <w:tcPr>
            <w:tcW w:w="2770" w:type="dxa"/>
            <w:shd w:val="clear" w:color="auto" w:fill="auto"/>
            <w:noWrap/>
            <w:vAlign w:val="center"/>
          </w:tcPr>
          <w:p>
            <w:pPr>
              <w:ind w:firstLine="0"/>
              <w:jc w:val="center"/>
              <w:rPr>
                <w:szCs w:val="24"/>
                <w:lang w:eastAsia="ru-RU"/>
              </w:rPr>
            </w:pPr>
            <w:r>
              <w:rPr>
                <w:szCs w:val="24"/>
                <w:lang w:eastAsia="ru-RU"/>
              </w:rPr>
              <w:t>Равные средние, разные СКО (25/25)</w:t>
            </w:r>
          </w:p>
        </w:tc>
        <w:tc>
          <w:tcPr>
            <w:tcW w:w="2557" w:type="dxa"/>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1.77</w:t>
            </w:r>
            <w:r>
              <w:rPr>
                <w:rFonts w:eastAsia="Times New Roman"/>
                <w:color w:val="000000"/>
                <w:szCs w:val="24"/>
                <w:lang w:eastAsia="ru-RU"/>
              </w:rPr>
              <w:t>×10</w:t>
            </w:r>
            <w:r>
              <w:rPr>
                <w:rFonts w:eastAsia="Times New Roman"/>
                <w:color w:val="000000"/>
                <w:szCs w:val="24"/>
                <w:vertAlign w:val="superscript"/>
                <w:lang w:eastAsia="ru-RU"/>
              </w:rPr>
              <w:t>-14</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812</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1 441 792 / 6</w:t>
            </w:r>
          </w:p>
        </w:tc>
      </w:tr>
      <w:tr>
        <w:tc>
          <w:tcPr>
            <w:tcW w:w="520" w:type="dxa"/>
            <w:shd w:val="clear" w:color="auto" w:fill="auto"/>
            <w:noWrap/>
            <w:vAlign w:val="center"/>
          </w:tcPr>
          <w:p>
            <w:pPr>
              <w:ind w:firstLine="0"/>
              <w:jc w:val="center"/>
              <w:rPr>
                <w:szCs w:val="24"/>
                <w:lang w:eastAsia="ru-RU"/>
              </w:rPr>
            </w:pPr>
            <w:r>
              <w:rPr>
                <w:szCs w:val="24"/>
                <w:lang w:eastAsia="ru-RU"/>
              </w:rPr>
              <w:t>n20</w:t>
            </w:r>
          </w:p>
        </w:tc>
        <w:tc>
          <w:tcPr>
            <w:tcW w:w="2770" w:type="dxa"/>
            <w:shd w:val="clear" w:color="auto" w:fill="auto"/>
            <w:noWrap/>
            <w:vAlign w:val="center"/>
          </w:tcPr>
          <w:p>
            <w:pPr>
              <w:ind w:firstLine="0"/>
              <w:jc w:val="center"/>
              <w:rPr>
                <w:szCs w:val="24"/>
                <w:lang w:eastAsia="ru-RU"/>
              </w:rPr>
            </w:pPr>
            <w:r>
              <w:rPr>
                <w:szCs w:val="24"/>
                <w:lang w:eastAsia="ru-RU"/>
              </w:rPr>
              <w:t>Разность средних (32/32)</w:t>
            </w:r>
          </w:p>
        </w:tc>
        <w:tc>
          <w:tcPr>
            <w:tcW w:w="2557" w:type="dxa"/>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3.06</w:t>
            </w:r>
            <w:r>
              <w:rPr>
                <w:rFonts w:eastAsia="Times New Roman"/>
                <w:color w:val="000000"/>
                <w:szCs w:val="24"/>
                <w:lang w:eastAsia="ru-RU"/>
              </w:rPr>
              <w:t>×10</w:t>
            </w:r>
            <w:r>
              <w:rPr>
                <w:rFonts w:eastAsia="Times New Roman"/>
                <w:color w:val="000000"/>
                <w:szCs w:val="24"/>
                <w:vertAlign w:val="superscript"/>
                <w:lang w:eastAsia="ru-RU"/>
              </w:rPr>
              <w:t>-14</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812</w:t>
            </w:r>
          </w:p>
        </w:tc>
        <w:tc>
          <w:tcPr>
            <w:tcW w:w="0" w:type="auto"/>
            <w:shd w:val="clear" w:color="auto" w:fill="auto"/>
            <w:noWrap/>
            <w:vAlign w:val="bottom"/>
          </w:tcPr>
          <w:p>
            <w:pPr>
              <w:ind w:firstLine="0"/>
              <w:jc w:val="center"/>
              <w:rPr>
                <w:rFonts w:eastAsia="Times New Roman"/>
                <w:color w:val="000000"/>
                <w:szCs w:val="24"/>
                <w:lang w:eastAsia="ru-RU"/>
              </w:rPr>
            </w:pPr>
            <w:r>
              <w:rPr>
                <w:rFonts w:eastAsia="Times New Roman"/>
                <w:color w:val="000000"/>
                <w:szCs w:val="24"/>
                <w:lang w:eastAsia="ru-RU"/>
              </w:rPr>
              <w:t>1 441 792 / 6</w:t>
            </w:r>
          </w:p>
        </w:tc>
      </w:tr>
    </w:tbl>
    <w:p>
      <w:pPr>
        <w:spacing w:before="100" w:beforeAutospacing="1"/>
      </w:pPr>
      <w:r>
        <w:t>Несмотря на значительную вычислительную сложность процесса генерации, необходимо отметить, что верификация полученного доказательства агрегатором происходит за полилогарифмическое время (миллисекунды) и не требует значительных ресурсов. В контексте многоцентровых клинических исследований, где процессы сбора и консолидации данных обычно занимают недели и месяцы, разовые вычислительные затраты в несколько часов для получения математически неоспоримого и юридически чистого результата являются оправданными. Предложенный подход позволяет заменить длительные и дорогостоящие процедуры аудита информационной безопасности и правового согласования трансграничной передачи данных автоматизированным криптографическим протоколом.</w:t>
      </w:r>
    </w:p>
    <w:p>
      <w:pPr>
        <w:pStyle w:val="1"/>
      </w:pPr>
      <w:r>
        <w:t>Обсуждение</w:t>
      </w:r>
    </w:p>
    <w:p>
      <w:r>
        <w:t xml:space="preserve">В данной работе впервые представлена практическая реализация криптографического протокола на базе zk-STARK для решения задач клинической лабораторной статистики. Основная ценность подхода заключается в создании «доверительной среды» (Trustless Environment), где агрегатор получает математически неоспоримые гарантии достоверности результатов, не имея при этом доступа к персональным данным пациентов. Это предлагает реальную альтернативу </w:t>
      </w:r>
      <w:r>
        <w:lastRenderedPageBreak/>
        <w:t>централизованным репозиториям данных, снижая риски утечек и упрощая международную научную кооперацию.</w:t>
      </w:r>
    </w:p>
    <w:p>
      <w:r>
        <w:t>С точки зрения правового регулирования (GDPR, 152-ФЗ), разработанная архитектура реализует принцип «проектируемой конфиденциальности» (Privacy by Design). Поскольку за пределы лаборатории выходят только статистические агрегаты, трансграничная передача которых не ограничена, протокол позволяет легально включать медицинские центры из любых юрисдикций в международные регистры и МСИ. Это минимизирует административные издержки на получение этических одобрений и разрешений на экспорт биоматериалов или данных.</w:t>
      </w:r>
    </w:p>
    <w:p>
      <w:r>
        <w:t>Несмотря на успешную валидацию, текущая реализация протокола имеет ряд ограничений, требующих дальнейшей проработки. Прежде всего, использование среднего арифметического выборочных медиан в качестве порога для теста Муда представляет собой эвристическую аппроксимацию. Хотя в рамках проведенного исследования данный подход не привел к искажению итоговых статистических выводов, повышение точности в будущем может быть достигнуто за счет внедрения специализированных ZK-дружественных алгоритмов ранжирования или использования методов защищенных многосторонних вычислений (MPC) для нахождения истинной объединенной медианы без раскрытия индивидуальных значений.</w:t>
      </w:r>
    </w:p>
    <w:p>
      <w:r>
        <w:t>Наряду с методологическими особенностями, существенным вызовом остается проблема масштабируемости, так как время генерации STARK-доказательств значительно возрастает при увеличении объема выборки. Для эффективной обработки массивов данных, превышающих 1000 наблюдений, целесообразно рассмотреть применение рекурсивных доказательств или переход к асимптотическим приближениям непараметрических тестов, требующим меньшего количества циклов процессора.</w:t>
      </w:r>
    </w:p>
    <w:p>
      <w:r>
        <w:t>Кроме того, внедрение протокола в реальную клиническую практику ограничено текущими технологическими барьерами, а именно зависимостью среды исполнения от WSL2 и специализированного инструментария Rust, что осложняет прямую интеграцию решения в существующие лабораторные информационные системы (LIS). В этой связи приоритетным направлением развития является разработка нативных библиотек для операционных систем семейства Windows и создание интуитивно понятных графических интерфейсов, адаптированных для работы врачей-исследователей.</w:t>
      </w:r>
    </w:p>
    <w:p>
      <w:r>
        <w:t>В отличие от методов гомоморфного шифрования, которые остаются крайне ресурсоемкими для сложных статистических функций, и протоколов защищенного многостороннего вычисления (MPC), требующих синхронного онлайн-присутствия всех участников, предложенный ZK-протокол является асинхронным. Лаборатории могут генерировать доказательства независимо и в разное время, что делает его более подходящим для глобальных научных проектов с участием множества центров. Разработанный инструмент закладывает фундамент для нового поколения систем внешней оценки качества и совместных клинических исследований, где доказательность выводов сочетается с абсолютной приватностью пациентов.</w:t>
      </w:r>
    </w:p>
    <w:p>
      <w:pPr>
        <w:pStyle w:val="1"/>
      </w:pPr>
      <w:r>
        <w:t>Заключение</w:t>
      </w:r>
    </w:p>
    <w:p>
      <w:r>
        <w:t xml:space="preserve">В результате проведенного исследования был разработан и успешно валидирован криптографический протокол на базе технологии zk-STARK, подтвердивший принципиальную возможность проведения статистического сравнения независимых групп без раскрытия первичных данных и их трансграничной передачи. Экспериментально доказано, что предложенная архитектура обеспечивает прецизионную точность вычислений с контролируемой относительной погрешностью, не превышающей </w:t>
      </w:r>
      <m:oMath>
        <m:sSup>
          <m:sSupPr>
            <m:ctrlPr>
              <w:rPr>
                <w:rFonts w:ascii="Cambria Math" w:hAnsi="Cambria Math"/>
                <w:i/>
              </w:rPr>
            </m:ctrlPr>
          </m:sSupPr>
          <m:e>
            <m:r>
              <w:rPr>
                <w:rFonts w:ascii="Cambria Math" w:hAnsi="Cambria Math"/>
              </w:rPr>
              <m:t>10</m:t>
            </m:r>
          </m:e>
          <m:sup>
            <m:r>
              <w:rPr>
                <w:rFonts w:ascii="Cambria Math" w:hAnsi="Cambria Math"/>
              </w:rPr>
              <m:t>-12</m:t>
            </m:r>
          </m:sup>
        </m:sSup>
      </m:oMath>
      <w:r>
        <w:t xml:space="preserve"> по отношению к эталонным значениям программного пакета R. </w:t>
      </w:r>
    </w:p>
    <w:p>
      <w:r>
        <w:t xml:space="preserve">Текущая реализация прототипа является функционально законченным решением, пригодным для апробации в рамках регуляторных «песочниц» и пилотных проектов по </w:t>
      </w:r>
      <w:r>
        <w:lastRenderedPageBreak/>
        <w:t xml:space="preserve">внешней оценке качества лабораторных исследований. Применение данной технологии позволяет нивелировать основные административные и этические барьеры, связанные с защитой медицинской и коммерческой тайны, сохраняя при этом математическую гарантию достоверности результатов. </w:t>
      </w:r>
    </w:p>
    <w:p>
      <w:r>
        <w:t>Тем не менее, для полномасштабного внедрения протокола в рутинную клиническую практику необходима дальнейшая оптимизация производительности генерации STARK-доказательств, а также методологическая доработка непараметрического блока в части перехода к более мощным критериям или алгоритмам точного нахождения объединенной медианы. Полученные результаты закладывают фундамент для создания децентрализованных систем обработки медицинских данных, обеспечивающих новый уровень доверия и безопасности в многоцентровых научных исследованиях.</w:t>
      </w:r>
    </w:p>
    <w:sectPr>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F7A1F"/>
    <w:multiLevelType w:val="hybridMultilevel"/>
    <w:tmpl w:val="9692089A"/>
    <w:lvl w:ilvl="0" w:tplc="81E25324">
      <w:start w:val="1"/>
      <w:numFmt w:val="bullet"/>
      <w:pStyle w:val="-"/>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673C10"/>
    <w:multiLevelType w:val="multilevel"/>
    <w:tmpl w:val="B74689CC"/>
    <w:lvl w:ilvl="0">
      <w:start w:val="1"/>
      <w:numFmt w:val="decimal"/>
      <w:pStyle w:val="1"/>
      <w:lvlText w:val="%1."/>
      <w:lvlJc w:val="left"/>
      <w:pPr>
        <w:ind w:left="709" w:firstLine="0"/>
      </w:pPr>
    </w:lvl>
    <w:lvl w:ilvl="1">
      <w:start w:val="1"/>
      <w:numFmt w:val="decimal"/>
      <w:pStyle w:val="2"/>
      <w:lvlText w:val="%1.%2."/>
      <w:lvlJc w:val="left"/>
      <w:pPr>
        <w:ind w:left="709" w:firstLine="0"/>
      </w:pPr>
    </w:lvl>
    <w:lvl w:ilvl="2">
      <w:start w:val="1"/>
      <w:numFmt w:val="decimal"/>
      <w:pStyle w:val="3"/>
      <w:lvlText w:val="%1.%2.%3."/>
      <w:lvlJc w:val="left"/>
      <w:pPr>
        <w:ind w:left="709" w:firstLine="0"/>
      </w:pPr>
    </w:lvl>
    <w:lvl w:ilvl="3">
      <w:start w:val="1"/>
      <w:numFmt w:val="decimal"/>
      <w:pStyle w:val="4"/>
      <w:lvlText w:val="%1.%2.%3.%4."/>
      <w:lvlJc w:val="left"/>
      <w:pPr>
        <w:ind w:left="709" w:firstLine="0"/>
      </w:pPr>
    </w:lvl>
    <w:lvl w:ilvl="4">
      <w:start w:val="1"/>
      <w:numFmt w:val="decimal"/>
      <w:pStyle w:val="5"/>
      <w:lvlText w:val="%1.%2.%3.%4.%5."/>
      <w:lvlJc w:val="left"/>
      <w:pPr>
        <w:ind w:left="709" w:firstLine="0"/>
      </w:pPr>
    </w:lvl>
    <w:lvl w:ilvl="5">
      <w:start w:val="1"/>
      <w:numFmt w:val="decimal"/>
      <w:pStyle w:val="6"/>
      <w:lvlText w:val="%1.%2.%3.%4.%5.%6."/>
      <w:lvlJc w:val="left"/>
      <w:pPr>
        <w:ind w:left="709" w:firstLine="0"/>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2" w15:restartNumberingAfterBreak="0">
    <w:nsid w:val="537C042D"/>
    <w:multiLevelType w:val="hybridMultilevel"/>
    <w:tmpl w:val="DECCFBE8"/>
    <w:lvl w:ilvl="0" w:tplc="82BE3F0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7DDE6F98"/>
    <w:multiLevelType w:val="hybridMultilevel"/>
    <w:tmpl w:val="BE068BB8"/>
    <w:lvl w:ilvl="0" w:tplc="F84E7B34">
      <w:start w:val="1"/>
      <w:numFmt w:val="decimal"/>
      <w:pStyle w:val="-0"/>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885A487-8C57-4591-B254-B96C697EB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240" w:lineRule="auto"/>
      <w:ind w:firstLine="709"/>
      <w:jc w:val="both"/>
    </w:pPr>
  </w:style>
  <w:style w:type="paragraph" w:styleId="1">
    <w:name w:val="heading 1"/>
    <w:basedOn w:val="a"/>
    <w:next w:val="a"/>
    <w:link w:val="10"/>
    <w:uiPriority w:val="9"/>
    <w:qFormat/>
    <w:pPr>
      <w:keepNext/>
      <w:keepLines/>
      <w:numPr>
        <w:numId w:val="1"/>
      </w:numPr>
      <w:spacing w:before="240" w:after="240"/>
      <w:ind w:left="0"/>
      <w:outlineLvl w:val="0"/>
    </w:pPr>
    <w:rPr>
      <w:rFonts w:eastAsiaTheme="majorEastAsia"/>
      <w:b/>
      <w:sz w:val="28"/>
      <w:szCs w:val="32"/>
    </w:rPr>
  </w:style>
  <w:style w:type="paragraph" w:styleId="2">
    <w:name w:val="heading 2"/>
    <w:basedOn w:val="a"/>
    <w:next w:val="a"/>
    <w:link w:val="20"/>
    <w:uiPriority w:val="9"/>
    <w:semiHidden/>
    <w:unhideWhenUsed/>
    <w:qFormat/>
    <w:pPr>
      <w:keepNext/>
      <w:keepLines/>
      <w:numPr>
        <w:ilvl w:val="1"/>
        <w:numId w:val="1"/>
      </w:numPr>
      <w:spacing w:before="240" w:after="240"/>
      <w:ind w:left="0"/>
      <w:outlineLvl w:val="1"/>
    </w:pPr>
    <w:rPr>
      <w:rFonts w:eastAsiaTheme="majorEastAsia"/>
      <w:b/>
      <w:sz w:val="28"/>
      <w:szCs w:val="26"/>
    </w:rPr>
  </w:style>
  <w:style w:type="paragraph" w:styleId="3">
    <w:name w:val="heading 3"/>
    <w:basedOn w:val="a"/>
    <w:next w:val="a"/>
    <w:link w:val="30"/>
    <w:uiPriority w:val="9"/>
    <w:semiHidden/>
    <w:unhideWhenUsed/>
    <w:qFormat/>
    <w:pPr>
      <w:keepNext/>
      <w:keepLines/>
      <w:numPr>
        <w:ilvl w:val="2"/>
        <w:numId w:val="1"/>
      </w:numPr>
      <w:spacing w:before="240" w:after="240"/>
      <w:ind w:left="0"/>
      <w:outlineLvl w:val="2"/>
    </w:pPr>
    <w:rPr>
      <w:rFonts w:eastAsiaTheme="majorEastAsia"/>
      <w:b/>
      <w:sz w:val="28"/>
      <w:szCs w:val="24"/>
    </w:rPr>
  </w:style>
  <w:style w:type="paragraph" w:styleId="4">
    <w:name w:val="heading 4"/>
    <w:basedOn w:val="a"/>
    <w:next w:val="a"/>
    <w:link w:val="40"/>
    <w:uiPriority w:val="9"/>
    <w:semiHidden/>
    <w:unhideWhenUsed/>
    <w:qFormat/>
    <w:pPr>
      <w:keepNext/>
      <w:keepLines/>
      <w:numPr>
        <w:ilvl w:val="3"/>
        <w:numId w:val="1"/>
      </w:numPr>
      <w:spacing w:before="240" w:after="240"/>
      <w:ind w:left="0"/>
      <w:outlineLvl w:val="3"/>
    </w:pPr>
    <w:rPr>
      <w:rFonts w:eastAsiaTheme="majorEastAsia"/>
      <w:b/>
      <w:iCs/>
      <w:sz w:val="28"/>
    </w:rPr>
  </w:style>
  <w:style w:type="paragraph" w:styleId="5">
    <w:name w:val="heading 5"/>
    <w:basedOn w:val="a"/>
    <w:next w:val="a"/>
    <w:link w:val="50"/>
    <w:uiPriority w:val="9"/>
    <w:semiHidden/>
    <w:unhideWhenUsed/>
    <w:qFormat/>
    <w:pPr>
      <w:keepNext/>
      <w:keepLines/>
      <w:numPr>
        <w:ilvl w:val="4"/>
        <w:numId w:val="1"/>
      </w:numPr>
      <w:spacing w:before="240" w:after="240"/>
      <w:ind w:left="0"/>
      <w:outlineLvl w:val="4"/>
    </w:pPr>
    <w:rPr>
      <w:rFonts w:eastAsiaTheme="majorEastAsia"/>
      <w:b/>
      <w:sz w:val="28"/>
    </w:rPr>
  </w:style>
  <w:style w:type="paragraph" w:styleId="6">
    <w:name w:val="heading 6"/>
    <w:basedOn w:val="a"/>
    <w:next w:val="a"/>
    <w:link w:val="60"/>
    <w:uiPriority w:val="9"/>
    <w:semiHidden/>
    <w:unhideWhenUsed/>
    <w:qFormat/>
    <w:pPr>
      <w:keepNext/>
      <w:keepLines/>
      <w:numPr>
        <w:ilvl w:val="5"/>
        <w:numId w:val="1"/>
      </w:numPr>
      <w:spacing w:before="240" w:after="240"/>
      <w:ind w:left="0"/>
      <w:outlineLvl w:val="5"/>
    </w:pPr>
    <w:rPr>
      <w:rFonts w:eastAsiaTheme="majorEastAsia"/>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pPr>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Pr>
      <w:rFonts w:asciiTheme="majorHAnsi" w:eastAsiaTheme="majorEastAsia" w:hAnsiTheme="majorHAnsi" w:cstheme="majorBidi"/>
      <w:spacing w:val="-10"/>
      <w:kern w:val="28"/>
      <w:sz w:val="56"/>
      <w:szCs w:val="56"/>
    </w:rPr>
  </w:style>
  <w:style w:type="paragraph" w:styleId="a5">
    <w:name w:val="No Spacing"/>
    <w:uiPriority w:val="1"/>
    <w:pPr>
      <w:spacing w:after="0" w:line="240" w:lineRule="auto"/>
    </w:pPr>
  </w:style>
  <w:style w:type="character" w:styleId="a6">
    <w:name w:val="Subtle Emphasis"/>
    <w:basedOn w:val="a0"/>
    <w:uiPriority w:val="19"/>
    <w:rPr>
      <w:i/>
      <w:iCs/>
      <w:color w:val="404040" w:themeColor="text1" w:themeTint="BF"/>
    </w:rPr>
  </w:style>
  <w:style w:type="character" w:styleId="a7">
    <w:name w:val="Emphasis"/>
    <w:basedOn w:val="a0"/>
    <w:uiPriority w:val="20"/>
    <w:rPr>
      <w:i/>
      <w:iCs/>
    </w:rPr>
  </w:style>
  <w:style w:type="character" w:styleId="a8">
    <w:name w:val="Intense Emphasis"/>
    <w:basedOn w:val="a0"/>
    <w:uiPriority w:val="21"/>
    <w:rPr>
      <w:i/>
      <w:iCs/>
      <w:color w:val="4472C4" w:themeColor="accent1"/>
    </w:rPr>
  </w:style>
  <w:style w:type="character" w:styleId="a9">
    <w:name w:val="Strong"/>
    <w:basedOn w:val="a0"/>
    <w:uiPriority w:val="22"/>
    <w:rPr>
      <w:b/>
      <w:bCs/>
    </w:rPr>
  </w:style>
  <w:style w:type="paragraph" w:styleId="21">
    <w:name w:val="Quote"/>
    <w:basedOn w:val="a"/>
    <w:next w:val="a"/>
    <w:link w:val="22"/>
    <w:uiPriority w:val="29"/>
    <w:pPr>
      <w:spacing w:before="200"/>
      <w:ind w:left="864" w:right="864"/>
      <w:jc w:val="center"/>
    </w:pPr>
    <w:rPr>
      <w:i/>
      <w:iCs/>
      <w:color w:val="404040" w:themeColor="text1" w:themeTint="BF"/>
    </w:rPr>
  </w:style>
  <w:style w:type="character" w:customStyle="1" w:styleId="22">
    <w:name w:val="Цитата 2 Знак"/>
    <w:basedOn w:val="a0"/>
    <w:link w:val="21"/>
    <w:uiPriority w:val="29"/>
    <w:rPr>
      <w:i/>
      <w:iCs/>
      <w:color w:val="404040" w:themeColor="text1" w:themeTint="BF"/>
    </w:rPr>
  </w:style>
  <w:style w:type="paragraph" w:styleId="aa">
    <w:name w:val="Intense Quote"/>
    <w:basedOn w:val="a"/>
    <w:next w:val="a"/>
    <w:link w:val="ab"/>
    <w:uiPriority w:val="3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b">
    <w:name w:val="Выделенная цитата Знак"/>
    <w:basedOn w:val="a0"/>
    <w:link w:val="aa"/>
    <w:uiPriority w:val="30"/>
    <w:rPr>
      <w:i/>
      <w:iCs/>
      <w:color w:val="4472C4" w:themeColor="accent1"/>
    </w:rPr>
  </w:style>
  <w:style w:type="character" w:styleId="ac">
    <w:name w:val="Subtle Reference"/>
    <w:basedOn w:val="a0"/>
    <w:uiPriority w:val="31"/>
    <w:rPr>
      <w:smallCaps/>
      <w:color w:val="5A5A5A" w:themeColor="text1" w:themeTint="A5"/>
    </w:rPr>
  </w:style>
  <w:style w:type="character" w:styleId="ad">
    <w:name w:val="Intense Reference"/>
    <w:basedOn w:val="a0"/>
    <w:uiPriority w:val="32"/>
    <w:rPr>
      <w:b/>
      <w:bCs/>
      <w:smallCaps/>
      <w:color w:val="4472C4" w:themeColor="accent1"/>
      <w:spacing w:val="5"/>
    </w:rPr>
  </w:style>
  <w:style w:type="character" w:styleId="ae">
    <w:name w:val="Book Title"/>
    <w:basedOn w:val="a0"/>
    <w:uiPriority w:val="33"/>
    <w:rPr>
      <w:b/>
      <w:bCs/>
      <w:i/>
      <w:iCs/>
      <w:spacing w:val="5"/>
    </w:rPr>
  </w:style>
  <w:style w:type="paragraph" w:styleId="af">
    <w:name w:val="List Paragraph"/>
    <w:basedOn w:val="a"/>
    <w:uiPriority w:val="34"/>
    <w:pPr>
      <w:ind w:left="720"/>
      <w:contextualSpacing/>
    </w:pPr>
  </w:style>
  <w:style w:type="paragraph" w:styleId="af0">
    <w:name w:val="Subtitle"/>
    <w:basedOn w:val="a"/>
    <w:next w:val="a"/>
    <w:link w:val="af1"/>
    <w:uiPriority w:val="11"/>
    <w:pPr>
      <w:numPr>
        <w:ilvl w:val="1"/>
      </w:numPr>
      <w:ind w:firstLine="709"/>
    </w:pPr>
    <w:rPr>
      <w:rFonts w:asciiTheme="minorHAnsi" w:eastAsiaTheme="minorEastAsia" w:hAnsiTheme="minorHAnsi" w:cstheme="minorBidi"/>
      <w:color w:val="5A5A5A" w:themeColor="text1" w:themeTint="A5"/>
      <w:spacing w:val="15"/>
      <w:sz w:val="22"/>
    </w:rPr>
  </w:style>
  <w:style w:type="character" w:customStyle="1" w:styleId="af1">
    <w:name w:val="Подзаголовок Знак"/>
    <w:basedOn w:val="a0"/>
    <w:link w:val="af0"/>
    <w:uiPriority w:val="11"/>
    <w:rPr>
      <w:rFonts w:asciiTheme="minorHAnsi" w:eastAsiaTheme="minorEastAsia" w:hAnsiTheme="minorHAnsi" w:cstheme="minorBidi"/>
      <w:color w:val="5A5A5A" w:themeColor="text1" w:themeTint="A5"/>
      <w:spacing w:val="15"/>
      <w:sz w:val="22"/>
    </w:rPr>
  </w:style>
  <w:style w:type="paragraph" w:customStyle="1" w:styleId="af2">
    <w:name w:val="По центру"/>
    <w:basedOn w:val="a"/>
    <w:link w:val="af3"/>
    <w:pPr>
      <w:keepNext/>
      <w:ind w:firstLine="0"/>
      <w:jc w:val="center"/>
    </w:pPr>
  </w:style>
  <w:style w:type="character" w:customStyle="1" w:styleId="af3">
    <w:name w:val="По центру Знак"/>
    <w:basedOn w:val="a0"/>
    <w:link w:val="af2"/>
  </w:style>
  <w:style w:type="paragraph" w:customStyle="1" w:styleId="0">
    <w:name w:val="Заголовок 0"/>
    <w:basedOn w:val="a"/>
    <w:link w:val="00"/>
    <w:pPr>
      <w:spacing w:before="240" w:after="240"/>
      <w:ind w:firstLine="0"/>
      <w:outlineLvl w:val="0"/>
    </w:pPr>
    <w:rPr>
      <w:b/>
      <w:sz w:val="28"/>
    </w:rPr>
  </w:style>
  <w:style w:type="character" w:customStyle="1" w:styleId="00">
    <w:name w:val="Заголовок 0 Знак"/>
    <w:basedOn w:val="a0"/>
    <w:link w:val="0"/>
    <w:rPr>
      <w:b/>
      <w:sz w:val="28"/>
    </w:rPr>
  </w:style>
  <w:style w:type="paragraph" w:customStyle="1" w:styleId="af4">
    <w:name w:val="Подраздел"/>
    <w:basedOn w:val="a"/>
    <w:link w:val="af5"/>
    <w:pPr>
      <w:keepNext/>
      <w:spacing w:before="120" w:after="120"/>
    </w:pPr>
    <w:rPr>
      <w:b/>
    </w:rPr>
  </w:style>
  <w:style w:type="character" w:customStyle="1" w:styleId="af5">
    <w:name w:val="Подраздел Знак"/>
    <w:basedOn w:val="a0"/>
    <w:link w:val="af4"/>
    <w:rPr>
      <w:b/>
    </w:rPr>
  </w:style>
  <w:style w:type="paragraph" w:customStyle="1" w:styleId="af6">
    <w:name w:val="Таблица"/>
    <w:basedOn w:val="a"/>
    <w:link w:val="af7"/>
    <w:pPr>
      <w:keepNext/>
      <w:spacing w:before="120"/>
      <w:ind w:firstLine="0"/>
    </w:pPr>
  </w:style>
  <w:style w:type="character" w:customStyle="1" w:styleId="af7">
    <w:name w:val="Таблица Знак"/>
    <w:basedOn w:val="a0"/>
    <w:link w:val="af6"/>
  </w:style>
  <w:style w:type="paragraph" w:customStyle="1" w:styleId="af8">
    <w:name w:val="Рисунок"/>
    <w:basedOn w:val="a"/>
    <w:link w:val="af9"/>
    <w:pPr>
      <w:spacing w:after="120"/>
      <w:ind w:firstLine="0"/>
      <w:jc w:val="center"/>
    </w:pPr>
  </w:style>
  <w:style w:type="character" w:customStyle="1" w:styleId="af9">
    <w:name w:val="Рисунок Знак"/>
    <w:basedOn w:val="a0"/>
    <w:link w:val="af8"/>
  </w:style>
  <w:style w:type="paragraph" w:customStyle="1" w:styleId="afa">
    <w:name w:val="Перечень"/>
    <w:basedOn w:val="a"/>
    <w:link w:val="afb"/>
    <w:pPr>
      <w:keepNext/>
      <w:spacing w:before="120"/>
      <w:ind w:firstLine="0"/>
    </w:pPr>
  </w:style>
  <w:style w:type="character" w:customStyle="1" w:styleId="afb">
    <w:name w:val="Перечень Знак"/>
    <w:basedOn w:val="a0"/>
    <w:link w:val="afa"/>
  </w:style>
  <w:style w:type="paragraph" w:customStyle="1" w:styleId="afc">
    <w:name w:val="Оглавление рисунков"/>
    <w:basedOn w:val="a"/>
    <w:link w:val="afd"/>
    <w:pPr>
      <w:ind w:firstLine="0"/>
      <w:contextualSpacing/>
      <w:jc w:val="left"/>
    </w:pPr>
  </w:style>
  <w:style w:type="character" w:customStyle="1" w:styleId="afd">
    <w:name w:val="Оглавление рисунков Знак"/>
    <w:basedOn w:val="a0"/>
    <w:link w:val="afc"/>
  </w:style>
  <w:style w:type="paragraph" w:customStyle="1" w:styleId="-0">
    <w:name w:val="Список - номер"/>
    <w:basedOn w:val="a"/>
    <w:link w:val="-1"/>
    <w:pPr>
      <w:numPr>
        <w:numId w:val="2"/>
      </w:numPr>
      <w:spacing w:before="120" w:after="120"/>
      <w:ind w:left="0" w:firstLine="0"/>
      <w:contextualSpacing/>
    </w:pPr>
  </w:style>
  <w:style w:type="character" w:customStyle="1" w:styleId="-1">
    <w:name w:val="Список - номер Знак"/>
    <w:basedOn w:val="a0"/>
    <w:link w:val="-0"/>
  </w:style>
  <w:style w:type="paragraph" w:customStyle="1" w:styleId="-">
    <w:name w:val="Список - маркер"/>
    <w:basedOn w:val="a"/>
    <w:link w:val="-2"/>
    <w:pPr>
      <w:numPr>
        <w:numId w:val="3"/>
      </w:numPr>
      <w:spacing w:before="120" w:after="120"/>
      <w:ind w:left="0" w:firstLine="0"/>
      <w:contextualSpacing/>
    </w:pPr>
  </w:style>
  <w:style w:type="character" w:customStyle="1" w:styleId="-2">
    <w:name w:val="Список - маркер Знак"/>
    <w:basedOn w:val="a0"/>
    <w:link w:val="-"/>
  </w:style>
  <w:style w:type="paragraph" w:styleId="11">
    <w:name w:val="toc 1"/>
    <w:basedOn w:val="a"/>
    <w:next w:val="a"/>
    <w:autoRedefine/>
    <w:uiPriority w:val="39"/>
    <w:semiHidden/>
    <w:unhideWhenUsed/>
    <w:pPr>
      <w:ind w:firstLine="0"/>
    </w:pPr>
  </w:style>
  <w:style w:type="paragraph" w:styleId="23">
    <w:name w:val="toc 2"/>
    <w:basedOn w:val="a"/>
    <w:next w:val="a"/>
    <w:autoRedefine/>
    <w:uiPriority w:val="39"/>
    <w:semiHidden/>
    <w:unhideWhenUsed/>
    <w:pPr>
      <w:ind w:firstLine="0"/>
    </w:pPr>
  </w:style>
  <w:style w:type="paragraph" w:styleId="31">
    <w:name w:val="toc 3"/>
    <w:basedOn w:val="a"/>
    <w:next w:val="a"/>
    <w:autoRedefine/>
    <w:uiPriority w:val="39"/>
    <w:semiHidden/>
    <w:unhideWhenUsed/>
    <w:pPr>
      <w:ind w:firstLine="0"/>
    </w:pPr>
  </w:style>
  <w:style w:type="paragraph" w:styleId="41">
    <w:name w:val="toc 4"/>
    <w:basedOn w:val="a"/>
    <w:next w:val="a"/>
    <w:autoRedefine/>
    <w:uiPriority w:val="39"/>
    <w:semiHidden/>
    <w:unhideWhenUsed/>
    <w:pPr>
      <w:ind w:firstLine="0"/>
    </w:pPr>
  </w:style>
  <w:style w:type="paragraph" w:styleId="51">
    <w:name w:val="toc 5"/>
    <w:basedOn w:val="a"/>
    <w:next w:val="a"/>
    <w:autoRedefine/>
    <w:uiPriority w:val="39"/>
    <w:semiHidden/>
    <w:unhideWhenUsed/>
    <w:pPr>
      <w:ind w:firstLine="0"/>
    </w:pPr>
  </w:style>
  <w:style w:type="paragraph" w:styleId="61">
    <w:name w:val="toc 6"/>
    <w:basedOn w:val="a"/>
    <w:next w:val="a"/>
    <w:autoRedefine/>
    <w:uiPriority w:val="39"/>
    <w:semiHidden/>
    <w:unhideWhenUsed/>
    <w:pPr>
      <w:ind w:firstLine="0"/>
    </w:pPr>
  </w:style>
  <w:style w:type="character" w:customStyle="1" w:styleId="10">
    <w:name w:val="Заголовок 1 Знак"/>
    <w:basedOn w:val="a0"/>
    <w:link w:val="1"/>
    <w:uiPriority w:val="9"/>
    <w:rPr>
      <w:rFonts w:eastAsiaTheme="majorEastAsia"/>
      <w:b/>
      <w:sz w:val="28"/>
      <w:szCs w:val="32"/>
    </w:rPr>
  </w:style>
  <w:style w:type="character" w:customStyle="1" w:styleId="20">
    <w:name w:val="Заголовок 2 Знак"/>
    <w:basedOn w:val="a0"/>
    <w:link w:val="2"/>
    <w:uiPriority w:val="9"/>
    <w:semiHidden/>
    <w:rPr>
      <w:rFonts w:eastAsiaTheme="majorEastAsia"/>
      <w:b/>
      <w:sz w:val="28"/>
      <w:szCs w:val="26"/>
    </w:rPr>
  </w:style>
  <w:style w:type="character" w:customStyle="1" w:styleId="30">
    <w:name w:val="Заголовок 3 Знак"/>
    <w:basedOn w:val="a0"/>
    <w:link w:val="3"/>
    <w:uiPriority w:val="9"/>
    <w:semiHidden/>
    <w:rPr>
      <w:rFonts w:eastAsiaTheme="majorEastAsia"/>
      <w:b/>
      <w:sz w:val="28"/>
      <w:szCs w:val="24"/>
    </w:rPr>
  </w:style>
  <w:style w:type="character" w:customStyle="1" w:styleId="40">
    <w:name w:val="Заголовок 4 Знак"/>
    <w:basedOn w:val="a0"/>
    <w:link w:val="4"/>
    <w:uiPriority w:val="9"/>
    <w:semiHidden/>
    <w:rPr>
      <w:rFonts w:eastAsiaTheme="majorEastAsia"/>
      <w:b/>
      <w:iCs/>
      <w:sz w:val="28"/>
    </w:rPr>
  </w:style>
  <w:style w:type="character" w:customStyle="1" w:styleId="50">
    <w:name w:val="Заголовок 5 Знак"/>
    <w:basedOn w:val="a0"/>
    <w:link w:val="5"/>
    <w:uiPriority w:val="9"/>
    <w:semiHidden/>
    <w:rPr>
      <w:rFonts w:eastAsiaTheme="majorEastAsia"/>
      <w:b/>
      <w:sz w:val="28"/>
    </w:rPr>
  </w:style>
  <w:style w:type="character" w:customStyle="1" w:styleId="60">
    <w:name w:val="Заголовок 6 Знак"/>
    <w:basedOn w:val="a0"/>
    <w:link w:val="6"/>
    <w:uiPriority w:val="9"/>
    <w:semiHidden/>
    <w:rPr>
      <w:rFonts w:eastAsiaTheme="majorEastAsia"/>
      <w:b/>
      <w:sz w:val="28"/>
    </w:rPr>
  </w:style>
  <w:style w:type="paragraph" w:styleId="afe">
    <w:name w:val="Normal (Web)"/>
    <w:basedOn w:val="a"/>
    <w:uiPriority w:val="99"/>
    <w:semiHidden/>
    <w:unhideWhenUsed/>
    <w:pPr>
      <w:spacing w:before="100" w:beforeAutospacing="1" w:after="100" w:afterAutospacing="1"/>
      <w:ind w:firstLine="0"/>
      <w:jc w:val="left"/>
    </w:pPr>
    <w:rPr>
      <w:rFonts w:eastAsia="Times New Roman"/>
      <w:szCs w:val="24"/>
      <w:lang w:eastAsia="ru-RU"/>
    </w:rPr>
  </w:style>
  <w:style w:type="paragraph" w:styleId="aff">
    <w:name w:val="caption"/>
    <w:basedOn w:val="a"/>
    <w:next w:val="a"/>
    <w:uiPriority w:val="35"/>
    <w:unhideWhenUsed/>
    <w:pPr>
      <w:spacing w:after="200"/>
    </w:pPr>
    <w:rPr>
      <w:i/>
      <w:iCs/>
      <w:color w:val="44546A" w:themeColor="text2"/>
      <w:sz w:val="18"/>
      <w:szCs w:val="18"/>
    </w:rPr>
  </w:style>
  <w:style w:type="table" w:styleId="aff0">
    <w:name w:val="Table Grid"/>
    <w:basedOn w:val="a1"/>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225266">
      <w:bodyDiv w:val="1"/>
      <w:marLeft w:val="0"/>
      <w:marRight w:val="0"/>
      <w:marTop w:val="0"/>
      <w:marBottom w:val="0"/>
      <w:divBdr>
        <w:top w:val="none" w:sz="0" w:space="0" w:color="auto"/>
        <w:left w:val="none" w:sz="0" w:space="0" w:color="auto"/>
        <w:bottom w:val="none" w:sz="0" w:space="0" w:color="auto"/>
        <w:right w:val="none" w:sz="0" w:space="0" w:color="auto"/>
      </w:divBdr>
    </w:div>
    <w:div w:id="271909046">
      <w:bodyDiv w:val="1"/>
      <w:marLeft w:val="0"/>
      <w:marRight w:val="0"/>
      <w:marTop w:val="0"/>
      <w:marBottom w:val="0"/>
      <w:divBdr>
        <w:top w:val="none" w:sz="0" w:space="0" w:color="auto"/>
        <w:left w:val="none" w:sz="0" w:space="0" w:color="auto"/>
        <w:bottom w:val="none" w:sz="0" w:space="0" w:color="auto"/>
        <w:right w:val="none" w:sz="0" w:space="0" w:color="auto"/>
      </w:divBdr>
    </w:div>
    <w:div w:id="330764141">
      <w:bodyDiv w:val="1"/>
      <w:marLeft w:val="0"/>
      <w:marRight w:val="0"/>
      <w:marTop w:val="0"/>
      <w:marBottom w:val="0"/>
      <w:divBdr>
        <w:top w:val="none" w:sz="0" w:space="0" w:color="auto"/>
        <w:left w:val="none" w:sz="0" w:space="0" w:color="auto"/>
        <w:bottom w:val="none" w:sz="0" w:space="0" w:color="auto"/>
        <w:right w:val="none" w:sz="0" w:space="0" w:color="auto"/>
      </w:divBdr>
    </w:div>
    <w:div w:id="431248465">
      <w:bodyDiv w:val="1"/>
      <w:marLeft w:val="0"/>
      <w:marRight w:val="0"/>
      <w:marTop w:val="0"/>
      <w:marBottom w:val="0"/>
      <w:divBdr>
        <w:top w:val="none" w:sz="0" w:space="0" w:color="auto"/>
        <w:left w:val="none" w:sz="0" w:space="0" w:color="auto"/>
        <w:bottom w:val="none" w:sz="0" w:space="0" w:color="auto"/>
        <w:right w:val="none" w:sz="0" w:space="0" w:color="auto"/>
      </w:divBdr>
    </w:div>
    <w:div w:id="568610976">
      <w:bodyDiv w:val="1"/>
      <w:marLeft w:val="0"/>
      <w:marRight w:val="0"/>
      <w:marTop w:val="0"/>
      <w:marBottom w:val="0"/>
      <w:divBdr>
        <w:top w:val="none" w:sz="0" w:space="0" w:color="auto"/>
        <w:left w:val="none" w:sz="0" w:space="0" w:color="auto"/>
        <w:bottom w:val="none" w:sz="0" w:space="0" w:color="auto"/>
        <w:right w:val="none" w:sz="0" w:space="0" w:color="auto"/>
      </w:divBdr>
    </w:div>
    <w:div w:id="573978930">
      <w:bodyDiv w:val="1"/>
      <w:marLeft w:val="0"/>
      <w:marRight w:val="0"/>
      <w:marTop w:val="0"/>
      <w:marBottom w:val="0"/>
      <w:divBdr>
        <w:top w:val="none" w:sz="0" w:space="0" w:color="auto"/>
        <w:left w:val="none" w:sz="0" w:space="0" w:color="auto"/>
        <w:bottom w:val="none" w:sz="0" w:space="0" w:color="auto"/>
        <w:right w:val="none" w:sz="0" w:space="0" w:color="auto"/>
      </w:divBdr>
    </w:div>
    <w:div w:id="717626234">
      <w:bodyDiv w:val="1"/>
      <w:marLeft w:val="0"/>
      <w:marRight w:val="0"/>
      <w:marTop w:val="0"/>
      <w:marBottom w:val="0"/>
      <w:divBdr>
        <w:top w:val="none" w:sz="0" w:space="0" w:color="auto"/>
        <w:left w:val="none" w:sz="0" w:space="0" w:color="auto"/>
        <w:bottom w:val="none" w:sz="0" w:space="0" w:color="auto"/>
        <w:right w:val="none" w:sz="0" w:space="0" w:color="auto"/>
      </w:divBdr>
    </w:div>
    <w:div w:id="830682613">
      <w:bodyDiv w:val="1"/>
      <w:marLeft w:val="0"/>
      <w:marRight w:val="0"/>
      <w:marTop w:val="0"/>
      <w:marBottom w:val="0"/>
      <w:divBdr>
        <w:top w:val="none" w:sz="0" w:space="0" w:color="auto"/>
        <w:left w:val="none" w:sz="0" w:space="0" w:color="auto"/>
        <w:bottom w:val="none" w:sz="0" w:space="0" w:color="auto"/>
        <w:right w:val="none" w:sz="0" w:space="0" w:color="auto"/>
      </w:divBdr>
    </w:div>
    <w:div w:id="1070077624">
      <w:bodyDiv w:val="1"/>
      <w:marLeft w:val="0"/>
      <w:marRight w:val="0"/>
      <w:marTop w:val="0"/>
      <w:marBottom w:val="0"/>
      <w:divBdr>
        <w:top w:val="none" w:sz="0" w:space="0" w:color="auto"/>
        <w:left w:val="none" w:sz="0" w:space="0" w:color="auto"/>
        <w:bottom w:val="none" w:sz="0" w:space="0" w:color="auto"/>
        <w:right w:val="none" w:sz="0" w:space="0" w:color="auto"/>
      </w:divBdr>
    </w:div>
    <w:div w:id="1464998954">
      <w:bodyDiv w:val="1"/>
      <w:marLeft w:val="0"/>
      <w:marRight w:val="0"/>
      <w:marTop w:val="0"/>
      <w:marBottom w:val="0"/>
      <w:divBdr>
        <w:top w:val="none" w:sz="0" w:space="0" w:color="auto"/>
        <w:left w:val="none" w:sz="0" w:space="0" w:color="auto"/>
        <w:bottom w:val="none" w:sz="0" w:space="0" w:color="auto"/>
        <w:right w:val="none" w:sz="0" w:space="0" w:color="auto"/>
      </w:divBdr>
    </w:div>
    <w:div w:id="1537893694">
      <w:bodyDiv w:val="1"/>
      <w:marLeft w:val="0"/>
      <w:marRight w:val="0"/>
      <w:marTop w:val="0"/>
      <w:marBottom w:val="0"/>
      <w:divBdr>
        <w:top w:val="none" w:sz="0" w:space="0" w:color="auto"/>
        <w:left w:val="none" w:sz="0" w:space="0" w:color="auto"/>
        <w:bottom w:val="none" w:sz="0" w:space="0" w:color="auto"/>
        <w:right w:val="none" w:sz="0" w:space="0" w:color="auto"/>
      </w:divBdr>
    </w:div>
    <w:div w:id="1607155876">
      <w:bodyDiv w:val="1"/>
      <w:marLeft w:val="0"/>
      <w:marRight w:val="0"/>
      <w:marTop w:val="0"/>
      <w:marBottom w:val="0"/>
      <w:divBdr>
        <w:top w:val="none" w:sz="0" w:space="0" w:color="auto"/>
        <w:left w:val="none" w:sz="0" w:space="0" w:color="auto"/>
        <w:bottom w:val="none" w:sz="0" w:space="0" w:color="auto"/>
        <w:right w:val="none" w:sz="0" w:space="0" w:color="auto"/>
      </w:divBdr>
    </w:div>
    <w:div w:id="1886718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312</TotalTime>
  <Pages>9</Pages>
  <Words>3150</Words>
  <Characters>22874</Characters>
  <Application>Microsoft Office Word</Application>
  <DocSecurity>0</DocSecurity>
  <Lines>672</Lines>
  <Paragraphs>419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dc:creator>
  <cp:keywords/>
  <dc:description/>
  <cp:lastModifiedBy>Александр</cp:lastModifiedBy>
  <cp:revision>262</cp:revision>
  <dcterms:created xsi:type="dcterms:W3CDTF">2025-08-23T19:11:00Z</dcterms:created>
  <dcterms:modified xsi:type="dcterms:W3CDTF">2026-09-07T12:41:00Z</dcterms:modified>
</cp:coreProperties>
</file>