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sz w:val="48"/>
          <w:szCs w:val="56"/>
        </w:rPr>
      </w:pPr>
      <w:r>
        <w:rPr>
          <w:sz w:val="48"/>
          <w:szCs w:val="56"/>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jc w:val="both"/>
        <w:rPr>
          <w:vertAlign w:val="superscript"/>
          <w:del w:id="1" w:author="Unknown Author" w:date="2024-06-26T09:03:11Z"/>
        </w:rPr>
      </w:pPr>
      <w:del w:id="0" w:author="Unknown Author" w:date="2024-06-26T09:03:11Z">
        <w:r>
          <w:rPr/>
        </w:r>
      </w:del>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2"/>
        </w:numPr>
        <w:spacing w:lineRule="auto" w:line="360"/>
        <w:rPr/>
      </w:pPr>
      <w:r>
        <w:rPr>
          <w:lang w:val="pt-BR"/>
        </w:rPr>
        <w:t>Abstract</w:t>
      </w:r>
    </w:p>
    <w:p>
      <w:pPr>
        <w:pStyle w:val="TextBody"/>
        <w:numPr>
          <w:ilvl w:val="0"/>
          <w:numId w:val="2"/>
        </w:numPr>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w:t>
      </w:r>
      <w:r>
        <w:rPr/>
        <w:t>Potential biomarkers for each stage were selected based on t-test</w:t>
      </w:r>
      <w:r>
        <w:rPr/>
        <w:t xml:space="preserve"> </w:t>
      </w:r>
      <w:r>
        <w:rPr/>
        <w:t>(</w:t>
      </w:r>
      <w:r>
        <w:rPr/>
        <w:t>FD</w:t>
      </w:r>
      <w:r>
        <w:rPr/>
        <w:t xml:space="preserve">R ≤ </w:t>
      </w:r>
      <w:r>
        <w:rPr/>
        <w:t>0.05)</w:t>
      </w:r>
      <w:r>
        <w:rPr/>
        <w:t xml:space="preserve">. </w:t>
      </w:r>
      <w:r>
        <w:rPr/>
        <w:t>This work supports the fact that transcritpome can reveal markers for cancer staging and study of cancer progression....</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2"/>
        </w:numPr>
        <w:spacing w:lineRule="auto" w:line="360"/>
        <w:rPr/>
      </w:pPr>
      <w:r>
        <w:rPr>
          <w:lang w:val="pt-BR"/>
        </w:rPr>
        <w:t>1. Introduction</w:t>
      </w:r>
    </w:p>
    <w:p>
      <w:pPr>
        <w:pStyle w:val="Heading1"/>
        <w:numPr>
          <w:ilvl w:val="0"/>
          <w:numId w:val="0"/>
        </w:numPr>
        <w:spacing w:lineRule="auto" w:line="360"/>
        <w:ind w:left="0" w:hanging="0"/>
        <w:rPr/>
      </w:pPr>
      <w:r>
        <w:rPr/>
        <w:t>2</w:t>
      </w:r>
      <w:r>
        <w:rPr/>
        <w:t>. Results</w:t>
      </w:r>
    </w:p>
    <w:p>
      <w:pPr>
        <w:pStyle w:val="Heading2"/>
        <w:numPr>
          <w:ilvl w:val="1"/>
          <w:numId w:val="2"/>
        </w:numPr>
        <w:spacing w:lineRule="auto" w:line="360"/>
        <w:rPr>
          <w:sz w:val="28"/>
          <w:szCs w:val="32"/>
        </w:rPr>
      </w:pPr>
      <w:r>
        <w:rPr>
          <w:sz w:val="28"/>
          <w:szCs w:val="32"/>
        </w:rPr>
        <w:t>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t>
      </w:r>
      <w:r>
        <w:rPr/>
        <w:t>are</w:t>
      </w:r>
      <w:r>
        <w:rPr/>
        <w:t xml:space="preserve"> distributed to stages I, II and III, respectively (RPKM ≥ 4 , log2foldchange ≥1 and unpaired t-test FDR ≤ 0.05). </w:t>
      </w:r>
      <w:r>
        <w:rPr/>
        <w:t xml:space="preserve">These genes </w:t>
      </w:r>
      <w:r>
        <w:rPr/>
        <w:t xml:space="preserve">were used to sample sub-interactomes with 1140/3291, 1198/3564, 1280/4002 vertex/edges </w:t>
      </w:r>
      <w:r>
        <w:rPr/>
        <w:t>for each stage</w:t>
      </w:r>
      <w:r>
        <w:rPr/>
        <w:t xml:space="preserve">. </w:t>
      </w:r>
      <w:r>
        <w:rPr/>
        <w:t>Then, e</w:t>
      </w:r>
      <w:r>
        <w:rPr/>
        <w:t xml:space="preserve">ntropy values of 3.669, 3.713 and 3.786 </w:t>
      </w:r>
      <w:r>
        <w:rPr/>
        <w:t xml:space="preserve">were obtained </w:t>
      </w:r>
      <w:r>
        <w:rPr/>
        <w:t xml:space="preserve">for sub-interactomes of stages I, II and III. </w:t>
      </w:r>
      <w:r>
        <w:rPr/>
        <w:t xml:space="preserve">Finally, the number of stage-specific genes, </w:t>
      </w:r>
      <w:r>
        <w:rPr>
          <w:rFonts w:eastAsia="Noto Serif CJK SC" w:cs="Lohit Devanagari;Times New Roman"/>
          <w:color w:val="auto"/>
          <w:kern w:val="2"/>
          <w:sz w:val="24"/>
          <w:szCs w:val="24"/>
          <w:lang w:val="en-US" w:eastAsia="zh-CN" w:bidi="hi-IN"/>
        </w:rPr>
        <w:t xml:space="preserve">i.e. </w:t>
      </w:r>
      <w:r>
        <w:rPr/>
        <w:t xml:space="preserve">without overlap to other stages, is 23, 62, 169 in stages I, II and III, respectively (see Figure </w:t>
      </w:r>
      <w:r>
        <w:rPr/>
        <w:t>1</w:t>
      </w:r>
      <w:r>
        <w:rPr/>
        <w:t>).</w:t>
      </w:r>
    </w:p>
    <w:p>
      <w:pPr>
        <w:pStyle w:val="TextBody"/>
        <w:spacing w:lineRule="auto" w:line="360" w:before="240" w:after="120"/>
        <w:jc w:val="both"/>
        <w:rPr/>
      </w:pPr>
      <w:r>
        <w:rPr>
          <w:b/>
          <w:bCs/>
        </w:rPr>
        <w:t>Figure 1 : A) Ven diagram of turmor genes and their stage-specific distribution. B) PCA of tumor genes contrasting tumor and normal paired samples.</w:t>
      </w:r>
    </w:p>
    <w:p>
      <w:pPr>
        <w:pStyle w:val="Heading2"/>
        <w:numPr>
          <w:ilvl w:val="1"/>
          <w:numId w:val="2"/>
        </w:numPr>
        <w:spacing w:lineRule="auto" w:line="360"/>
        <w:rPr>
          <w:sz w:val="28"/>
          <w:szCs w:val="32"/>
        </w:rPr>
      </w:pPr>
      <w:r>
        <w:rPr>
          <w:sz w:val="28"/>
          <w:szCs w:val="32"/>
        </w:rPr>
        <w:t>Stage-wise functional analysis</w:t>
      </w:r>
    </w:p>
    <w:p>
      <w:pPr>
        <w:pStyle w:val="TextBody"/>
        <w:spacing w:lineRule="auto" w:line="360"/>
        <w:jc w:val="both"/>
        <w:rPr/>
      </w:pPr>
      <w:r>
        <w:rPr/>
        <w:t>ClusterProfiler [</w:t>
      </w:r>
      <w:r>
        <w:rPr/>
        <w:t>cite</w:t>
      </w:r>
      <w:r>
        <w:rPr/>
        <w:t xml:space="preserve">] was used to annotate stage-specific genes against GO , KEGG  databases. </w:t>
      </w:r>
      <w:r>
        <w:rPr/>
        <w:t>Additionally, t</w:t>
      </w:r>
      <w:r>
        <w:rPr/>
        <w:t xml:space="preserve">he Human Gene Database [cite] was queried Genecards summary was stored. Diseases associated, related pathways and gene ontology annotation were extrated from summary </w:t>
      </w:r>
      <w:r>
        <w:rPr/>
        <w:t>(see Table 1)</w:t>
      </w:r>
      <w:r>
        <w:rPr/>
        <w:t xml:space="preserve">. </w:t>
      </w:r>
      <w:r>
        <w:rPr/>
        <w:t xml:space="preserve">For each of these terms, we counted the number of genes.  </w:t>
      </w:r>
      <w:r>
        <w:rPr/>
        <w:t>Then</w:t>
      </w:r>
      <w:r>
        <w:rPr/>
        <w:t xml:space="preserve">,  ten most abundant  terms in number of genes per stage </w:t>
      </w:r>
      <w:r>
        <w:rPr/>
        <w:t>were</w:t>
      </w:r>
      <w:r>
        <w:rPr/>
        <w:t xml:space="preserve"> inspected </w:t>
      </w:r>
      <w:r>
        <w:rPr/>
        <w:t xml:space="preserve">(see Table </w:t>
      </w:r>
      <w:r>
        <w:rPr/>
        <w:t>2</w:t>
      </w:r>
      <w:r>
        <w:rPr/>
        <w:t xml:space="preserve">). </w:t>
      </w:r>
      <w:r>
        <w:rPr/>
        <w:t xml:space="preserve">Terms common to all stages are </w:t>
      </w:r>
      <w:r>
        <w:rPr/>
        <w:t xml:space="preserve">protein homodimerization activity, Asparagine N-linked glycosylation, Cell surface interactions at the vascular wall, Neutrophil degranulation, Infectious disease, Metabolism of proteins, Innate Immune System, SARS-CoV Infections </w:t>
      </w:r>
      <w:r>
        <w:rPr/>
        <w:t>and</w:t>
      </w:r>
      <w:r>
        <w:rPr/>
        <w:t>RNA binding.</w:t>
      </w:r>
    </w:p>
    <w:p>
      <w:pPr>
        <w:pStyle w:val="TextBody"/>
        <w:spacing w:lineRule="auto" w:line="360"/>
        <w:jc w:val="both"/>
        <w:rPr/>
      </w:pPr>
      <w:r>
        <w:rPr/>
        <w:t xml:space="preserve">Terms most abundant in the later stage  III are: Signaling by WNT (13), Pathways of neurodegeneration - multiple diseases (14), mitochondrial matrix (16), mitochondrial protein-containing complex (16), Alzheimer disease (16) and mitochondrial inner membrane (16). The human proteasome gene family (PSM) consists of 49 genes that play a crucial role in cancer proteostasisFrom this gene family we found PSMB1, PSMC6, PSMC2, PSMD4, and PSMD7 annotated with terms Signaling by WNT, Pathways of neurodegeneration - multiple diseases and Alzheimer disease. </w:t>
      </w:r>
      <w:r>
        <w:rPr/>
        <w:t>Morever, m</w:t>
      </w:r>
      <w:r>
        <w:rPr/>
        <w:t>itochondria play</w:t>
      </w:r>
      <w:r>
        <w:rPr/>
        <w:t>s</w:t>
      </w:r>
      <w:r>
        <w:rPr/>
        <w:t xml:space="preserve"> an important role in cancer through macromolecular synthesis and energy production. </w:t>
      </w:r>
      <w:r>
        <w:rPr/>
        <w:t>G</w:t>
      </w:r>
      <w:r>
        <w:rPr/>
        <w:t xml:space="preserve">enes </w:t>
      </w:r>
      <w:r>
        <w:rPr/>
        <w:t>from</w:t>
      </w:r>
      <w:r>
        <w:rPr/>
        <w:t xml:space="preserve"> MRP (7), TIMM (2)  </w:t>
      </w:r>
      <w:r>
        <w:rPr/>
        <w:t xml:space="preserve">and COX (2) </w:t>
      </w:r>
      <w:r>
        <w:rPr/>
        <w:t xml:space="preserve">gene families </w:t>
      </w:r>
      <w:r>
        <w:rPr/>
        <w:t xml:space="preserve">are annotated with terms related to </w:t>
      </w:r>
      <w:r>
        <w:rPr/>
        <w:t>mitochondrial activitymitochondrial matrix, mitochondrial protein-containing complex and mitochondrial inner membrane).</w:t>
      </w:r>
      <w:ins w:id="2" w:author="Unknown Author" w:date="2024-06-26T11:48:15Z">
        <w:r>
          <w:rPr/>
          <w:t xml:space="preserve"> </w:t>
        </w:r>
      </w:ins>
    </w:p>
    <w:p>
      <w:pPr>
        <w:pStyle w:val="TextBody"/>
        <w:spacing w:lineRule="auto" w:line="360" w:before="240" w:after="120"/>
        <w:jc w:val="both"/>
        <w:rPr/>
      </w:pPr>
      <w:r>
        <w:rPr>
          <w:b/>
          <w:bCs/>
        </w:rPr>
        <w:t>Table</w:t>
      </w:r>
      <w:r>
        <w:rPr>
          <w:b/>
          <w:bCs/>
        </w:rPr>
        <w:t xml:space="preserve"> 1 : Annotation interpretation via GeneCards and ClusterProfiler.</w:t>
      </w:r>
    </w:p>
    <w:p>
      <w:pPr>
        <w:pStyle w:val="TextBody"/>
        <w:spacing w:lineRule="auto" w:line="360" w:before="240" w:after="120"/>
        <w:jc w:val="both"/>
        <w:rPr/>
      </w:pPr>
      <w:r>
        <w:rPr>
          <w:b/>
          <w:bCs/>
        </w:rPr>
        <w:t>Table</w:t>
      </w:r>
      <w:r>
        <w:rPr>
          <w:b/>
          <w:bCs/>
        </w:rPr>
        <w:t xml:space="preserve"> </w:t>
      </w:r>
      <w:r>
        <w:rPr>
          <w:b/>
          <w:bCs/>
        </w:rPr>
        <w:t>2</w:t>
      </w:r>
      <w:r>
        <w:rPr>
          <w:b/>
          <w:bCs/>
        </w:rPr>
        <w:t xml:space="preserve"> : </w:t>
      </w:r>
      <w:r>
        <w:rPr>
          <w:b/>
          <w:bCs/>
        </w:rPr>
        <w:t>T</w:t>
      </w:r>
      <w:r>
        <w:rPr>
          <w:b/>
          <w:bCs/>
        </w:rPr>
        <w:t>en most abundant  terms in number of genes per stage.</w:t>
      </w:r>
    </w:p>
    <w:p>
      <w:pPr>
        <w:pStyle w:val="TextBody"/>
        <w:numPr>
          <w:ilvl w:val="1"/>
          <w:numId w:val="2"/>
        </w:numPr>
        <w:jc w:val="both"/>
        <w:rPr>
          <w:rFonts w:ascii="Liberation Sans;Arial" w:hAnsi="Liberation Sans;Arial" w:eastAsia="Noto Sans CJK SC" w:cs="Lohit Devanagari;Times New Roman"/>
          <w:b w:val="false"/>
          <w:b w:val="false"/>
          <w:bCs w:val="false"/>
          <w:color w:val="auto"/>
          <w:kern w:val="2"/>
          <w:sz w:val="28"/>
          <w:szCs w:val="32"/>
          <w:u w:val="none"/>
          <w:lang w:val="en-US" w:eastAsia="zh-CN" w:bidi="hi-IN"/>
          <w:del w:id="5" w:author="Unknown Author" w:date="2024-06-26T11:47:35Z"/>
        </w:rPr>
      </w:pPr>
      <w:r>
        <w:rPr>
          <w:rFonts w:eastAsia="Noto Sans CJK SC" w:cs="Lohit Devanagari;Times New Roman" w:ascii="Liberation Sans;Arial" w:hAnsi="Liberation Sans;Arial"/>
          <w:b/>
          <w:bCs/>
          <w:color w:val="auto"/>
          <w:kern w:val="2"/>
          <w:sz w:val="28"/>
          <w:szCs w:val="32"/>
          <w:lang w:val="en-US" w:eastAsia="zh-CN" w:bidi="hi-IN"/>
        </w:rPr>
        <w:t>Biomarkers selection for squamous cell lung cancer staging</w:t>
      </w:r>
    </w:p>
    <w:p>
      <w:pPr>
        <w:pStyle w:val="TextBody"/>
        <w:numPr>
          <w:ilvl w:val="1"/>
          <w:numId w:val="2"/>
        </w:numPr>
        <w:spacing w:lineRule="auto" w:line="360"/>
        <w:jc w:val="both"/>
        <w:rPr>
          <w:b/>
          <w:b/>
          <w:bCs/>
          <w:ins w:id="6" w:author="Unknown Author" w:date="2024-06-26T11:47:27Z"/>
        </w:rPr>
      </w:pPr>
      <w:r>
        <w:rPr>
          <w:rFonts w:eastAsia="Noto Serif CJK SC" w:cs="Lohit Devanagari;Times New Roman"/>
          <w:b w:val="false"/>
          <w:bCs w:val="false"/>
          <w:color w:val="auto"/>
          <w:kern w:val="2"/>
          <w:sz w:val="24"/>
          <w:szCs w:val="24"/>
          <w:u w:val="none"/>
          <w:lang w:val="en-US" w:eastAsia="zh-CN" w:bidi="hi-IN"/>
        </w:rPr>
        <w:t xml:space="preserve">From the stage-specific genes, statistics were computed  t test was computed from paired and tumoral samples (see Table 3). </w:t>
      </w:r>
      <w:r>
        <w:rPr>
          <w:rFonts w:eastAsia="Noto Serif CJK SC" w:cs="Lohit Devanagari;Times New Roman"/>
          <w:b w:val="false"/>
          <w:bCs w:val="false"/>
          <w:color w:val="auto"/>
          <w:kern w:val="2"/>
          <w:sz w:val="24"/>
          <w:szCs w:val="24"/>
          <w:u w:val="none"/>
          <w:lang w:val="en-US" w:eastAsia="zh-CN" w:bidi="hi-IN"/>
        </w:rPr>
        <w:t>Noteworthy, results point to</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 xml:space="preserve">the </w:t>
      </w:r>
      <w:r>
        <w:rPr>
          <w:rFonts w:eastAsia="Noto Serif CJK SC" w:cs="Lohit Devanagari;Times New Roman"/>
          <w:b w:val="false"/>
          <w:bCs w:val="false"/>
          <w:color w:val="auto"/>
          <w:kern w:val="2"/>
          <w:sz w:val="24"/>
          <w:szCs w:val="24"/>
          <w:u w:val="none"/>
          <w:lang w:val="en-US" w:eastAsia="zh-CN" w:bidi="hi-IN"/>
        </w:rPr>
        <w:t xml:space="preserve">prominent makers for stage I </w:t>
      </w:r>
      <w:r>
        <w:rPr>
          <w:rFonts w:eastAsia="Noto Serif CJK SC" w:cs="Lohit Devanagari;Times New Roman"/>
          <w:b w:val="false"/>
          <w:bCs w:val="false"/>
          <w:color w:val="auto"/>
          <w:kern w:val="2"/>
          <w:sz w:val="24"/>
          <w:szCs w:val="24"/>
          <w:u w:val="none"/>
          <w:lang w:val="en-US" w:eastAsia="zh-CN" w:bidi="hi-IN"/>
        </w:rPr>
        <w:t>COPB2 and DHX36</w:t>
      </w:r>
      <w:r>
        <w:rPr>
          <w:rFonts w:eastAsia="Noto Serif CJK SC" w:cs="Lohit Devanagari;Times New Roman"/>
          <w:b w:val="false"/>
          <w:bCs w:val="false"/>
          <w:color w:val="auto"/>
          <w:kern w:val="2"/>
          <w:sz w:val="24"/>
          <w:szCs w:val="24"/>
          <w:u w:val="none"/>
          <w:lang w:val="en-US" w:eastAsia="zh-CN" w:bidi="hi-IN"/>
        </w:rPr>
        <w:t>,</w:t>
      </w:r>
      <w:r>
        <w:rPr>
          <w:rFonts w:eastAsia="Noto Serif CJK SC" w:cs="Lohit Devanagari;Times New Roman"/>
          <w:b w:val="false"/>
          <w:bCs w:val="false"/>
          <w:color w:val="auto"/>
          <w:kern w:val="2"/>
          <w:sz w:val="24"/>
          <w:szCs w:val="24"/>
          <w:u w:val="none"/>
          <w:lang w:val="en-US" w:eastAsia="zh-CN" w:bidi="hi-IN"/>
        </w:rPr>
        <w:t xml:space="preserve"> </w:t>
      </w:r>
      <w:r>
        <w:rPr>
          <w:rFonts w:eastAsia="Noto Serif CJK SC" w:cs="Lohit Devanagari;Times New Roman"/>
          <w:b w:val="false"/>
          <w:bCs w:val="false"/>
          <w:color w:val="auto"/>
          <w:kern w:val="2"/>
          <w:sz w:val="24"/>
          <w:szCs w:val="24"/>
          <w:u w:val="none"/>
          <w:lang w:val="en-US" w:eastAsia="zh-CN" w:bidi="hi-IN"/>
        </w:rPr>
        <w:t>both known for p</w:t>
      </w:r>
      <w:r>
        <w:rPr>
          <w:rFonts w:eastAsia="Noto Serif CJK SC" w:cs="Lohit Devanagari;Times New Roman"/>
          <w:b w:val="false"/>
          <w:bCs w:val="false"/>
          <w:color w:val="auto"/>
          <w:kern w:val="2"/>
          <w:sz w:val="24"/>
          <w:szCs w:val="24"/>
          <w:u w:val="none"/>
          <w:lang w:val="en-US" w:eastAsia="zh-CN" w:bidi="hi-IN"/>
        </w:rPr>
        <w:t xml:space="preserve">romoting metastasis in lung cancer. </w:t>
      </w:r>
      <w:r>
        <w:rPr>
          <w:rFonts w:eastAsia="Noto Serif CJK SC" w:cs="Lohit Devanagari;Times New Roman"/>
          <w:b w:val="false"/>
          <w:bCs w:val="false"/>
          <w:color w:val="auto"/>
          <w:kern w:val="2"/>
          <w:sz w:val="24"/>
          <w:szCs w:val="24"/>
          <w:u w:val="none"/>
          <w:lang w:val="en-US" w:eastAsia="zh-CN" w:bidi="hi-IN"/>
        </w:rPr>
        <w:t xml:space="preserve">From stage II, we note </w:t>
      </w:r>
      <w:r>
        <w:rPr>
          <w:rFonts w:eastAsia="Noto Serif CJK SC" w:cs="Lohit Devanagari;Times New Roman"/>
          <w:b w:val="false"/>
          <w:bCs w:val="false"/>
          <w:color w:val="auto"/>
          <w:kern w:val="2"/>
          <w:sz w:val="24"/>
          <w:szCs w:val="24"/>
          <w:u w:val="none"/>
          <w:lang w:val="en-US" w:eastAsia="zh-CN" w:bidi="hi-IN"/>
        </w:rPr>
        <w:t xml:space="preserve">THY1; a prognostic-related biomarker via mediating immune infiltration in lung squamous cell carcinoma. </w:t>
      </w:r>
      <w:r>
        <w:rPr>
          <w:rFonts w:eastAsia="Noto Serif CJK SC" w:cs="Lohit Devanagari;Times New Roman"/>
          <w:b w:val="false"/>
          <w:bCs w:val="false"/>
          <w:color w:val="auto"/>
          <w:kern w:val="2"/>
          <w:sz w:val="24"/>
          <w:szCs w:val="24"/>
          <w:u w:val="none"/>
          <w:lang w:val="en-US" w:eastAsia="zh-CN" w:bidi="hi-IN"/>
        </w:rPr>
        <w:t xml:space="preserve">Finally, from stage  III, </w:t>
      </w:r>
      <w:r>
        <w:rPr>
          <w:rFonts w:eastAsia="Noto Serif CJK SC" w:cs="Lohit Devanagari;Times New Roman"/>
          <w:b w:val="false"/>
          <w:bCs w:val="false"/>
          <w:color w:val="auto"/>
          <w:kern w:val="2"/>
          <w:sz w:val="24"/>
          <w:szCs w:val="24"/>
          <w:u w:val="none"/>
          <w:lang w:val="en-US" w:eastAsia="zh-CN" w:bidi="hi-IN"/>
        </w:rPr>
        <w:t>m</w:t>
      </w:r>
      <w:r>
        <w:rPr>
          <w:rFonts w:eastAsia="Noto Serif CJK SC" w:cs="Lohit Devanagari;Times New Roman"/>
          <w:b w:val="false"/>
          <w:bCs w:val="false"/>
          <w:color w:val="auto"/>
          <w:kern w:val="2"/>
          <w:sz w:val="24"/>
          <w:szCs w:val="24"/>
          <w:u w:val="none"/>
          <w:lang w:val="en-US" w:eastAsia="zh-CN" w:bidi="hi-IN"/>
        </w:rPr>
        <w:t xml:space="preserve">etastasis </w:t>
      </w:r>
      <w:r>
        <w:rPr>
          <w:rFonts w:eastAsia="Noto Serif CJK SC" w:cs="Lohit Devanagari;Times New Roman"/>
          <w:b w:val="false"/>
          <w:bCs w:val="false"/>
          <w:color w:val="auto"/>
          <w:kern w:val="2"/>
          <w:sz w:val="24"/>
          <w:szCs w:val="24"/>
          <w:u w:val="none"/>
          <w:lang w:val="en-US" w:eastAsia="zh-CN" w:bidi="hi-IN"/>
        </w:rPr>
        <w:t>genes</w:t>
      </w:r>
      <w:r>
        <w:rPr>
          <w:rFonts w:eastAsia="Noto Serif CJK SC" w:cs="Lohit Devanagari;Times New Roman"/>
          <w:b w:val="false"/>
          <w:bCs w:val="false"/>
          <w:color w:val="auto"/>
          <w:kern w:val="2"/>
          <w:sz w:val="24"/>
          <w:szCs w:val="24"/>
          <w:u w:val="none"/>
          <w:lang w:val="en-US" w:eastAsia="zh-CN" w:bidi="hi-IN"/>
        </w:rPr>
        <w:t xml:space="preserve"> MTA3 and AKR1C1</w:t>
      </w:r>
      <w:r>
        <w:rPr>
          <w:rFonts w:eastAsia="Noto Serif CJK SC" w:cs="Lohit Devanagari;Times New Roman"/>
          <w:b w:val="false"/>
          <w:bCs w:val="false"/>
          <w:color w:val="auto"/>
          <w:kern w:val="2"/>
          <w:sz w:val="24"/>
          <w:szCs w:val="24"/>
          <w:u w:val="none"/>
          <w:lang w:val="en-US" w:eastAsia="zh-CN" w:bidi="hi-IN"/>
        </w:rPr>
        <w:t xml:space="preserve"> are suggested as biomakers for later stages. </w:t>
      </w:r>
    </w:p>
    <w:p>
      <w:pPr>
        <w:pStyle w:val="TextBody"/>
        <w:spacing w:lineRule="auto" w:line="360" w:before="240" w:after="120"/>
        <w:jc w:val="both"/>
        <w:rPr/>
      </w:pPr>
      <w:r>
        <w:rPr>
          <w:b/>
          <w:bCs/>
        </w:rPr>
        <w:t>Table</w:t>
      </w:r>
      <w:r>
        <w:rPr>
          <w:b/>
          <w:bCs/>
        </w:rPr>
        <w:t xml:space="preserve"> </w:t>
      </w:r>
      <w:r>
        <w:rPr>
          <w:b/>
          <w:bCs/>
        </w:rPr>
        <w:t>3</w:t>
      </w:r>
      <w:r>
        <w:rPr>
          <w:b/>
          <w:bCs/>
        </w:rPr>
        <w:t xml:space="preserve"> : </w:t>
      </w:r>
      <w:r>
        <w:rPr>
          <w:b/>
          <w:bCs/>
        </w:rPr>
        <w:t>Statistics of stage-specific gene.</w:t>
      </w:r>
    </w:p>
    <w:p>
      <w:pPr>
        <w:pStyle w:val="TextBody"/>
        <w:spacing w:lineRule="auto" w:line="360" w:before="240" w:after="120"/>
        <w:jc w:val="both"/>
        <w:rPr/>
      </w:pPr>
      <w:r>
        <w:rPr>
          <w:b/>
          <w:bCs/>
        </w:rPr>
        <w:t>Figure</w:t>
      </w:r>
      <w:r>
        <w:rPr>
          <w:b/>
          <w:bCs/>
        </w:rPr>
        <w:t xml:space="preserve"> </w:t>
      </w:r>
      <w:r>
        <w:rPr>
          <w:b/>
          <w:bCs/>
        </w:rPr>
        <w:t>2</w:t>
      </w:r>
      <w:r>
        <w:rPr>
          <w:b/>
          <w:bCs/>
        </w:rPr>
        <w:t xml:space="preserve"> : </w:t>
      </w:r>
      <w:r>
        <w:rPr>
          <w:rFonts w:eastAsia="Noto Serif CJK SC" w:cs="Lohit Devanagari;Times New Roman"/>
          <w:b/>
          <w:bCs/>
          <w:color w:val="auto"/>
          <w:kern w:val="2"/>
          <w:sz w:val="24"/>
          <w:szCs w:val="24"/>
          <w:lang w:val="en-US" w:eastAsia="zh-CN" w:bidi="hi-IN"/>
        </w:rPr>
        <w:t>A</w:t>
      </w:r>
      <w:r>
        <w:rPr>
          <w:b/>
          <w:bCs/>
        </w:rPr>
        <w:t>nalysis P</w:t>
      </w:r>
      <w:r>
        <w:rPr>
          <w:b/>
          <w:bCs/>
        </w:rPr>
        <w:t>otential biomarkers.</w:t>
      </w:r>
    </w:p>
    <w:p>
      <w:pPr>
        <w:pStyle w:val="Heading1"/>
        <w:numPr>
          <w:ilvl w:val="0"/>
          <w:numId w:val="2"/>
        </w:numPr>
        <w:spacing w:lineRule="auto" w:line="360"/>
        <w:rPr/>
      </w:pPr>
      <w:r>
        <w:rPr/>
        <w:t>3</w:t>
      </w:r>
      <w:r>
        <w:rPr/>
        <w:t>. Materials and Methods</w:t>
      </w:r>
    </w:p>
    <w:p>
      <w:pPr>
        <w:pStyle w:val="Heading2"/>
        <w:numPr>
          <w:ilvl w:val="1"/>
          <w:numId w:val="3"/>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3"/>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3"/>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3"/>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3"/>
        </w:numPr>
        <w:spacing w:lineRule="auto" w:line="360" w:before="240" w:after="120"/>
        <w:jc w:val="both"/>
        <w:rPr/>
      </w:pPr>
      <w:r>
        <w:rPr/>
        <w:t>Functional annotation analysis</w:t>
      </w:r>
    </w:p>
    <w:p>
      <w:pPr>
        <w:pStyle w:val="TextBody"/>
        <w:spacing w:lineRule="auto" w:line="360" w:before="240" w:after="120"/>
        <w:jc w:val="both"/>
        <w:rPr/>
      </w:pPr>
      <w:r>
        <w:rPr/>
        <w:t>ClusterProfiler [7] was used to annotate stage-specific genes against GO , KEGG  databases. For each of these three layer, top ten anonontations in number of genes were selected and combined for further analysis if selection had more than one gene. The Human Gene Database [cite] was queried for each  ENSEMBL identifier and corresponding Genecards summary was stored. Diseases associated, related pathways and gene ontology annotation were extrated from summary.</w:t>
      </w:r>
    </w:p>
    <w:p>
      <w:pPr>
        <w:pStyle w:val="TextBody"/>
        <w:widowControl/>
        <w:numPr>
          <w:ilvl w:val="0"/>
          <w:numId w:val="0"/>
        </w:numPr>
        <w:suppressAutoHyphens w:val="true"/>
        <w:overflowPunct w:val="false"/>
        <w:bidi w:val="0"/>
        <w:spacing w:lineRule="auto" w:line="360" w:before="240" w:after="120"/>
        <w:ind w:left="0" w:hanging="0"/>
        <w:jc w:val="both"/>
        <w:rPr/>
      </w:pPr>
      <w:r>
        <w:rPr/>
      </w:r>
    </w:p>
    <w:p>
      <w:pPr>
        <w:pStyle w:val="Heading1"/>
        <w:numPr>
          <w:ilvl w:val="0"/>
          <w:numId w:val="2"/>
        </w:numPr>
        <w:spacing w:lineRule="auto" w:line="360"/>
        <w:rPr/>
      </w:pPr>
      <w:r>
        <w:rPr/>
        <w:t>4. Discussion</w:t>
      </w:r>
    </w:p>
    <w:p>
      <w:pPr>
        <w:pStyle w:val="Heading1"/>
        <w:numPr>
          <w:ilvl w:val="0"/>
          <w:numId w:val="2"/>
        </w:numPr>
        <w:spacing w:lineRule="auto" w:line="360"/>
        <w:rPr/>
      </w:pPr>
      <w:r>
        <w:rPr/>
        <w:t>5. Conclusion</w:t>
      </w:r>
    </w:p>
    <w:p>
      <w:pPr>
        <w:pStyle w:val="TextBody"/>
        <w:spacing w:lineRule="auto" w:line="360"/>
        <w:rPr/>
      </w:pPr>
      <w:r>
        <w:rPr/>
      </w:r>
    </w:p>
    <w:p>
      <w:pPr>
        <w:pStyle w:val="Heading1"/>
        <w:numPr>
          <w:ilvl w:val="0"/>
          <w:numId w:val="2"/>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2"/>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6"/>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2"/>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1006</TotalTime>
  <Application>LibreOffice/7.3.7.2$Linux_X86_64 LibreOffice_project/30$Build-2</Application>
  <AppVersion>15.0000</AppVersion>
  <Pages>6</Pages>
  <Words>1613</Words>
  <Characters>9299</Characters>
  <CharactersWithSpaces>10883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2024-06-26T11:54:01Z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