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40"/>
        <w:jc w:val="center"/>
      </w:pPr>
      <w:r>
        <w:rPr>
          <w:rFonts w:ascii="Arial" w:cs="Arial" w:eastAsia="Arial" w:hAnsi="Arial"/>
          <w:b/>
          <w:bCs/>
          <w:color w:val="0A1F5C"/>
          <w:sz w:val="44"/>
          <w:szCs w:val="44"/>
        </w:rPr>
        <w:t xml:space="preserve">BUSINESS REQUIREMENT DOCUMENT</w:t>
      </w:r>
    </w:p>
    <w:p>
      <w:pPr>
        <w:spacing w:after="80"/>
        <w:jc w:val="center"/>
      </w:pPr>
      <w:r>
        <w:rPr>
          <w:rFonts w:ascii="Arial" w:cs="Arial" w:eastAsia="Arial" w:hAnsi="Arial"/>
          <w:b/>
          <w:bCs/>
          <w:color w:val="1F5EFF"/>
          <w:sz w:val="52"/>
          <w:szCs w:val="52"/>
        </w:rPr>
        <w:t xml:space="preserve">Dynamic Discount Engine</w:t>
      </w:r>
    </w:p>
    <w:p>
      <w:pPr>
        <w:spacing w:after="200"/>
        <w:jc w:val="center"/>
      </w:pPr>
      <w:r>
        <w:rPr>
          <w:rFonts w:ascii="Arial" w:cs="Arial" w:eastAsia="Arial" w:hAnsi="Arial"/>
          <w:color w:val="6B7799"/>
          <w:sz w:val="26"/>
          <w:szCs w:val="26"/>
        </w:rPr>
        <w:t xml:space="preserve">Real-Time Discount Personalisation Based on Behavioural Signals</w:t>
      </w:r>
    </w:p>
    <w:p>
      <w:pPr>
        <w:pBdr>
          <w:bottom w:val="single" w:color="1F5EFF" w:sz="6" w:space="1"/>
        </w:pBdr>
        <w:spacing w:after="80" w:before="80"/>
      </w:pPr>
    </w:p>
    <w:p>
      <w:pPr>
        <w:spacing w:after="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0D5E8" w:sz="4"/>
              <w:left w:val="single" w:color="D0D5E8" w:sz="4"/>
              <w:bottom w:val="single" w:color="D0D5E8" w:sz="4"/>
              <w:right w:val="single" w:color="D0D5E8" w:sz="4"/>
            </w:tcBorders>
            <w:shd w:fill="EEF3FF" w:val="clear"/>
            <w:tcMar>
              <w:top w:type="dxa" w:w="80"/>
              <w:left w:type="dxa" w:w="140"/>
              <w:bottom w:type="dxa" w:w="80"/>
              <w:right w:type="dxa" w:w="140"/>
            </w:tcMar>
          </w:tcPr>
          <w:p>
            <w:r>
              <w:rPr>
                <w:rFonts w:ascii="Arial" w:cs="Arial" w:eastAsia="Arial" w:hAnsi="Arial"/>
                <w:b/>
                <w:bCs/>
                <w:color w:val="0A1F5C"/>
                <w:sz w:val="20"/>
                <w:szCs w:val="20"/>
              </w:rPr>
              <w:t xml:space="preserve">Document Type</w:t>
            </w:r>
          </w:p>
        </w:tc>
        <w:tc>
          <w:tcPr>
            <w:tcW w:type="dxa" w:w="3600"/>
            <w:tcBorders>
              <w:top w:val="single" w:color="D0D5E8" w:sz="4"/>
              <w:left w:val="single" w:color="D0D5E8" w:sz="4"/>
              <w:bottom w:val="single" w:color="D0D5E8" w:sz="4"/>
              <w:right w:val="single" w:color="D0D5E8" w:sz="4"/>
            </w:tcBorders>
            <w:tcMar>
              <w:top w:type="dxa" w:w="80"/>
              <w:left w:type="dxa" w:w="140"/>
              <w:bottom w:type="dxa" w:w="80"/>
              <w:right w:type="dxa" w:w="140"/>
            </w:tcMar>
          </w:tcPr>
          <w:p>
            <w:r>
              <w:rPr>
                <w:rFonts w:ascii="Arial" w:cs="Arial" w:eastAsia="Arial" w:hAnsi="Arial"/>
                <w:color w:val="1A1F36"/>
                <w:sz w:val="20"/>
                <w:szCs w:val="20"/>
              </w:rPr>
              <w:t xml:space="preserve">Business Requirement Document (BRD)</w:t>
            </w:r>
          </w:p>
        </w:tc>
      </w:tr>
      <w:tr>
        <w:tc>
          <w:tcPr>
            <w:tcW w:type="dxa" w:w="2400"/>
            <w:tcBorders>
              <w:top w:val="single" w:color="D0D5E8" w:sz="4"/>
              <w:left w:val="single" w:color="D0D5E8" w:sz="4"/>
              <w:bottom w:val="single" w:color="D0D5E8" w:sz="4"/>
              <w:right w:val="single" w:color="D0D5E8" w:sz="4"/>
            </w:tcBorders>
            <w:shd w:fill="EEF3FF" w:val="clear"/>
            <w:tcMar>
              <w:top w:type="dxa" w:w="80"/>
              <w:left w:type="dxa" w:w="140"/>
              <w:bottom w:type="dxa" w:w="80"/>
              <w:right w:type="dxa" w:w="140"/>
            </w:tcMar>
          </w:tcPr>
          <w:p>
            <w:r>
              <w:rPr>
                <w:rFonts w:ascii="Arial" w:cs="Arial" w:eastAsia="Arial" w:hAnsi="Arial"/>
                <w:b/>
                <w:bCs/>
                <w:color w:val="0A1F5C"/>
                <w:sz w:val="20"/>
                <w:szCs w:val="20"/>
              </w:rPr>
              <w:t xml:space="preserve">Product / Feature</w:t>
            </w:r>
          </w:p>
        </w:tc>
        <w:tc>
          <w:tcPr>
            <w:tcW w:type="dxa" w:w="3600"/>
            <w:tcBorders>
              <w:top w:val="single" w:color="D0D5E8" w:sz="4"/>
              <w:left w:val="single" w:color="D0D5E8" w:sz="4"/>
              <w:bottom w:val="single" w:color="D0D5E8" w:sz="4"/>
              <w:right w:val="single" w:color="D0D5E8" w:sz="4"/>
            </w:tcBorders>
            <w:tcMar>
              <w:top w:type="dxa" w:w="80"/>
              <w:left w:type="dxa" w:w="140"/>
              <w:bottom w:type="dxa" w:w="80"/>
              <w:right w:type="dxa" w:w="140"/>
            </w:tcMar>
          </w:tcPr>
          <w:p>
            <w:r>
              <w:rPr>
                <w:rFonts w:ascii="Arial" w:cs="Arial" w:eastAsia="Arial" w:hAnsi="Arial"/>
                <w:color w:val="1A1F36"/>
                <w:sz w:val="20"/>
                <w:szCs w:val="20"/>
              </w:rPr>
              <w:t xml:space="preserve">Dynamic Discount Engine v1.0</w:t>
            </w:r>
          </w:p>
        </w:tc>
      </w:tr>
      <w:tr>
        <w:tc>
          <w:tcPr>
            <w:tcW w:type="dxa" w:w="2400"/>
            <w:tcBorders>
              <w:top w:val="single" w:color="D0D5E8" w:sz="4"/>
              <w:left w:val="single" w:color="D0D5E8" w:sz="4"/>
              <w:bottom w:val="single" w:color="D0D5E8" w:sz="4"/>
              <w:right w:val="single" w:color="D0D5E8" w:sz="4"/>
            </w:tcBorders>
            <w:shd w:fill="EEF3FF" w:val="clear"/>
            <w:tcMar>
              <w:top w:type="dxa" w:w="80"/>
              <w:left w:type="dxa" w:w="140"/>
              <w:bottom w:type="dxa" w:w="80"/>
              <w:right w:type="dxa" w:w="140"/>
            </w:tcMar>
          </w:tcPr>
          <w:p>
            <w:r>
              <w:rPr>
                <w:rFonts w:ascii="Arial" w:cs="Arial" w:eastAsia="Arial" w:hAnsi="Arial"/>
                <w:b/>
                <w:bCs/>
                <w:color w:val="0A1F5C"/>
                <w:sz w:val="20"/>
                <w:szCs w:val="20"/>
              </w:rPr>
              <w:t xml:space="preserve">Prepared By</w:t>
            </w:r>
          </w:p>
        </w:tc>
        <w:tc>
          <w:tcPr>
            <w:tcW w:type="dxa" w:w="3600"/>
            <w:tcBorders>
              <w:top w:val="single" w:color="D0D5E8" w:sz="4"/>
              <w:left w:val="single" w:color="D0D5E8" w:sz="4"/>
              <w:bottom w:val="single" w:color="D0D5E8" w:sz="4"/>
              <w:right w:val="single" w:color="D0D5E8" w:sz="4"/>
            </w:tcBorders>
            <w:tcMar>
              <w:top w:type="dxa" w:w="80"/>
              <w:left w:type="dxa" w:w="140"/>
              <w:bottom w:type="dxa" w:w="80"/>
              <w:right w:type="dxa" w:w="140"/>
            </w:tcMar>
          </w:tcPr>
          <w:p>
            <w:r>
              <w:rPr>
                <w:rFonts w:ascii="Arial" w:cs="Arial" w:eastAsia="Arial" w:hAnsi="Arial"/>
                <w:color w:val="1A1F36"/>
                <w:sz w:val="20"/>
                <w:szCs w:val="20"/>
              </w:rPr>
              <w:t xml:space="preserve">Product Analytics Team</w:t>
            </w:r>
          </w:p>
        </w:tc>
      </w:tr>
      <w:tr>
        <w:tc>
          <w:tcPr>
            <w:tcW w:type="dxa" w:w="2400"/>
            <w:tcBorders>
              <w:top w:val="single" w:color="D0D5E8" w:sz="4"/>
              <w:left w:val="single" w:color="D0D5E8" w:sz="4"/>
              <w:bottom w:val="single" w:color="D0D5E8" w:sz="4"/>
              <w:right w:val="single" w:color="D0D5E8" w:sz="4"/>
            </w:tcBorders>
            <w:shd w:fill="EEF3FF" w:val="clear"/>
            <w:tcMar>
              <w:top w:type="dxa" w:w="80"/>
              <w:left w:type="dxa" w:w="140"/>
              <w:bottom w:type="dxa" w:w="80"/>
              <w:right w:type="dxa" w:w="140"/>
            </w:tcMar>
          </w:tcPr>
          <w:p>
            <w:r>
              <w:rPr>
                <w:rFonts w:ascii="Arial" w:cs="Arial" w:eastAsia="Arial" w:hAnsi="Arial"/>
                <w:b/>
                <w:bCs/>
                <w:color w:val="0A1F5C"/>
                <w:sz w:val="20"/>
                <w:szCs w:val="20"/>
              </w:rPr>
              <w:t xml:space="preserve">Document Date</w:t>
            </w:r>
          </w:p>
        </w:tc>
        <w:tc>
          <w:tcPr>
            <w:tcW w:type="dxa" w:w="3600"/>
            <w:tcBorders>
              <w:top w:val="single" w:color="D0D5E8" w:sz="4"/>
              <w:left w:val="single" w:color="D0D5E8" w:sz="4"/>
              <w:bottom w:val="single" w:color="D0D5E8" w:sz="4"/>
              <w:right w:val="single" w:color="D0D5E8" w:sz="4"/>
            </w:tcBorders>
            <w:tcMar>
              <w:top w:type="dxa" w:w="80"/>
              <w:left w:type="dxa" w:w="140"/>
              <w:bottom w:type="dxa" w:w="80"/>
              <w:right w:type="dxa" w:w="140"/>
            </w:tcMar>
          </w:tcPr>
          <w:p>
            <w:r>
              <w:rPr>
                <w:rFonts w:ascii="Arial" w:cs="Arial" w:eastAsia="Arial" w:hAnsi="Arial"/>
                <w:color w:val="1A1F36"/>
                <w:sz w:val="20"/>
                <w:szCs w:val="20"/>
              </w:rPr>
              <w:t xml:space="preserve">May 2026</w:t>
            </w:r>
          </w:p>
        </w:tc>
      </w:tr>
      <w:tr>
        <w:tc>
          <w:tcPr>
            <w:tcW w:type="dxa" w:w="2400"/>
            <w:tcBorders>
              <w:top w:val="single" w:color="D0D5E8" w:sz="4"/>
              <w:left w:val="single" w:color="D0D5E8" w:sz="4"/>
              <w:bottom w:val="single" w:color="D0D5E8" w:sz="4"/>
              <w:right w:val="single" w:color="D0D5E8" w:sz="4"/>
            </w:tcBorders>
            <w:shd w:fill="EEF3FF" w:val="clear"/>
            <w:tcMar>
              <w:top w:type="dxa" w:w="80"/>
              <w:left w:type="dxa" w:w="140"/>
              <w:bottom w:type="dxa" w:w="80"/>
              <w:right w:type="dxa" w:w="140"/>
            </w:tcMar>
          </w:tcPr>
          <w:p>
            <w:r>
              <w:rPr>
                <w:rFonts w:ascii="Arial" w:cs="Arial" w:eastAsia="Arial" w:hAnsi="Arial"/>
                <w:b/>
                <w:bCs/>
                <w:color w:val="0A1F5C"/>
                <w:sz w:val="20"/>
                <w:szCs w:val="20"/>
              </w:rPr>
              <w:t xml:space="preserve">Version</w:t>
            </w:r>
          </w:p>
        </w:tc>
        <w:tc>
          <w:tcPr>
            <w:tcW w:type="dxa" w:w="3600"/>
            <w:tcBorders>
              <w:top w:val="single" w:color="D0D5E8" w:sz="4"/>
              <w:left w:val="single" w:color="D0D5E8" w:sz="4"/>
              <w:bottom w:val="single" w:color="D0D5E8" w:sz="4"/>
              <w:right w:val="single" w:color="D0D5E8" w:sz="4"/>
            </w:tcBorders>
            <w:tcMar>
              <w:top w:type="dxa" w:w="80"/>
              <w:left w:type="dxa" w:w="140"/>
              <w:bottom w:type="dxa" w:w="80"/>
              <w:right w:type="dxa" w:w="140"/>
            </w:tcMar>
          </w:tcPr>
          <w:p>
            <w:r>
              <w:rPr>
                <w:rFonts w:ascii="Arial" w:cs="Arial" w:eastAsia="Arial" w:hAnsi="Arial"/>
                <w:color w:val="1A1F36"/>
                <w:sz w:val="20"/>
                <w:szCs w:val="20"/>
              </w:rPr>
              <w:t xml:space="preserve">1.0 — Initial Draft</w:t>
            </w:r>
          </w:p>
        </w:tc>
      </w:tr>
      <w:tr>
        <w:tc>
          <w:tcPr>
            <w:tcW w:type="dxa" w:w="2400"/>
            <w:tcBorders>
              <w:top w:val="single" w:color="D0D5E8" w:sz="4"/>
              <w:left w:val="single" w:color="D0D5E8" w:sz="4"/>
              <w:bottom w:val="single" w:color="D0D5E8" w:sz="4"/>
              <w:right w:val="single" w:color="D0D5E8" w:sz="4"/>
            </w:tcBorders>
            <w:shd w:fill="EEF3FF" w:val="clear"/>
            <w:tcMar>
              <w:top w:type="dxa" w:w="80"/>
              <w:left w:type="dxa" w:w="140"/>
              <w:bottom w:type="dxa" w:w="80"/>
              <w:right w:type="dxa" w:w="140"/>
            </w:tcMar>
          </w:tcPr>
          <w:p>
            <w:r>
              <w:rPr>
                <w:rFonts w:ascii="Arial" w:cs="Arial" w:eastAsia="Arial" w:hAnsi="Arial"/>
                <w:b/>
                <w:bCs/>
                <w:color w:val="0A1F5C"/>
                <w:sz w:val="20"/>
                <w:szCs w:val="20"/>
              </w:rPr>
              <w:t xml:space="preserve">Status</w:t>
            </w:r>
          </w:p>
        </w:tc>
        <w:tc>
          <w:tcPr>
            <w:tcW w:type="dxa" w:w="3600"/>
            <w:tcBorders>
              <w:top w:val="single" w:color="D0D5E8" w:sz="4"/>
              <w:left w:val="single" w:color="D0D5E8" w:sz="4"/>
              <w:bottom w:val="single" w:color="D0D5E8" w:sz="4"/>
              <w:right w:val="single" w:color="D0D5E8" w:sz="4"/>
            </w:tcBorders>
            <w:tcMar>
              <w:top w:type="dxa" w:w="80"/>
              <w:left w:type="dxa" w:w="140"/>
              <w:bottom w:type="dxa" w:w="80"/>
              <w:right w:type="dxa" w:w="140"/>
            </w:tcMar>
          </w:tcPr>
          <w:p>
            <w:r>
              <w:rPr>
                <w:rFonts w:ascii="Arial" w:cs="Arial" w:eastAsia="Arial" w:hAnsi="Arial"/>
                <w:color w:val="B45309"/>
                <w:sz w:val="20"/>
                <w:szCs w:val="20"/>
              </w:rPr>
              <w:t xml:space="preserve">Under Review</w:t>
            </w:r>
          </w:p>
        </w:tc>
      </w:tr>
      <w:tr>
        <w:tc>
          <w:tcPr>
            <w:tcW w:type="dxa" w:w="2400"/>
            <w:tcBorders>
              <w:top w:val="single" w:color="D0D5E8" w:sz="4"/>
              <w:left w:val="single" w:color="D0D5E8" w:sz="4"/>
              <w:bottom w:val="single" w:color="D0D5E8" w:sz="4"/>
              <w:right w:val="single" w:color="D0D5E8" w:sz="4"/>
            </w:tcBorders>
            <w:shd w:fill="EEF3FF" w:val="clear"/>
            <w:tcMar>
              <w:top w:type="dxa" w:w="80"/>
              <w:left w:type="dxa" w:w="140"/>
              <w:bottom w:type="dxa" w:w="80"/>
              <w:right w:type="dxa" w:w="140"/>
            </w:tcMar>
          </w:tcPr>
          <w:p>
            <w:r>
              <w:rPr>
                <w:rFonts w:ascii="Arial" w:cs="Arial" w:eastAsia="Arial" w:hAnsi="Arial"/>
                <w:b/>
                <w:bCs/>
                <w:color w:val="0A1F5C"/>
                <w:sz w:val="20"/>
                <w:szCs w:val="20"/>
              </w:rPr>
              <w:t xml:space="preserve">Data Source</w:t>
            </w:r>
          </w:p>
        </w:tc>
        <w:tc>
          <w:tcPr>
            <w:tcW w:type="dxa" w:w="3600"/>
            <w:tcBorders>
              <w:top w:val="single" w:color="D0D5E8" w:sz="4"/>
              <w:left w:val="single" w:color="D0D5E8" w:sz="4"/>
              <w:bottom w:val="single" w:color="D0D5E8" w:sz="4"/>
              <w:right w:val="single" w:color="D0D5E8" w:sz="4"/>
            </w:tcBorders>
            <w:tcMar>
              <w:top w:type="dxa" w:w="80"/>
              <w:left w:type="dxa" w:w="140"/>
              <w:bottom w:type="dxa" w:w="80"/>
              <w:right w:type="dxa" w:w="140"/>
            </w:tcMar>
          </w:tcPr>
          <w:p>
            <w:r>
              <w:rPr>
                <w:rFonts w:ascii="Arial" w:cs="Arial" w:eastAsia="Arial" w:hAnsi="Arial"/>
                <w:color w:val="1A1F36"/>
                <w:sz w:val="20"/>
                <w:szCs w:val="20"/>
              </w:rPr>
              <w:t xml:space="preserve">Ecommerce Consumer Behavior Dataset (n=1,000)</w:t>
            </w:r>
          </w:p>
        </w:tc>
      </w:tr>
    </w:tbl>
    <w:p>
      <w:pPr>
        <w:spacing w:after="800"/>
      </w:pPr>
    </w:p>
    <w:p>
      <w:pPr>
        <w:jc w:val="center"/>
      </w:pPr>
      <w:r>
        <w:rPr>
          <w:rFonts w:ascii="Arial" w:cs="Arial" w:eastAsia="Arial" w:hAnsi="Arial"/>
          <w:color w:val="6B7799"/>
          <w:sz w:val="18"/>
          <w:szCs w:val="18"/>
        </w:rPr>
        <w:t xml:space="preserve">Generated by Claude  |  Anthropic  |  claude.ai</w:t>
      </w:r>
    </w:p>
    <w:p>
      <w:r>
        <w:br w:type="page"/>
      </w:r>
    </w:p>
    <w:p>
      <w:pPr>
        <w:pStyle w:val="Heading1"/>
        <w:spacing w:after="180" w:before="360"/>
      </w:pPr>
      <w:r>
        <w:rPr>
          <w:rFonts w:ascii="Arial" w:cs="Arial" w:eastAsia="Arial" w:hAnsi="Arial"/>
          <w:b/>
          <w:bCs/>
          <w:color w:val="0A1F5C"/>
          <w:sz w:val="34"/>
          <w:szCs w:val="34"/>
        </w:rPr>
        <w:t xml:space="preserve">1. Executive Summary</w:t>
      </w:r>
    </w:p>
    <w:p>
      <w:pPr>
        <w:pBdr>
          <w:bottom w:val="single" w:color="1F5EFF" w:sz="6" w:space="1"/>
        </w:pBdr>
        <w:spacing w:after="80" w:before="80"/>
      </w:pPr>
    </w:p>
    <w:p>
      <w:pPr>
        <w:spacing w:after="100"/>
      </w:pPr>
      <w:r>
        <w:rPr>
          <w:rFonts w:ascii="Arial" w:cs="Arial" w:eastAsia="Arial" w:hAnsi="Arial"/>
          <w:b w:val="false"/>
          <w:bCs w:val="false"/>
          <w:color w:val="1A1F36"/>
          <w:sz w:val="22"/>
          <w:szCs w:val="22"/>
        </w:rPr>
        <w:t xml:space="preserve">The Dynamic Discount Engine (DDE) is a proposed feature for the ecommerce platform that replaces static, blanket discount campaigns with an intelligent, real-time personalisation layer. The engine continuously evaluates three primary customer behavioural signals — Discount_Sensitivity, Brand_Loyalty, and Purchase_Intent — to determine the optimal discount offer for each individual customer at the precise moment of purchase consideration.</w:t>
      </w:r>
    </w:p>
    <w:p>
      <w:pPr>
        <w:spacing w:after="80"/>
      </w:pPr>
    </w:p>
    <w:p>
      <w:pPr>
        <w:spacing w:after="100"/>
      </w:pPr>
      <w:r>
        <w:rPr>
          <w:rFonts w:ascii="Arial" w:cs="Arial" w:eastAsia="Arial" w:hAnsi="Arial"/>
          <w:b w:val="false"/>
          <w:bCs w:val="false"/>
          <w:color w:val="6B7799"/>
          <w:sz w:val="22"/>
          <w:szCs w:val="22"/>
        </w:rPr>
        <w:t xml:space="preserve">Dataset analysis of 1,000 ecommerce customers reveals that 35% are classified as Very Sensitive to discounts, 31.9% as Somewhat Sensitive, and 33.1% as Not Sensitive — confirming that applying uniform discounts wastes margin on customers who would purchase regardless, while failing to convert price-sensitive customers effectively.</w:t>
      </w:r>
    </w:p>
    <w:p>
      <w:pPr>
        <w:spacing w:after="80"/>
      </w:pPr>
    </w:p>
    <w:p>
      <w:pPr>
        <w:spacing w:after="100"/>
      </w:pPr>
      <w:r>
        <w:rPr>
          <w:rFonts w:ascii="Arial" w:cs="Arial" w:eastAsia="Arial" w:hAnsi="Arial"/>
          <w:b w:val="false"/>
          <w:bCs w:val="false"/>
          <w:color w:val="1A1F36"/>
          <w:sz w:val="22"/>
          <w:szCs w:val="22"/>
        </w:rPr>
        <w:t xml:space="preserve">The DDE directly addresses three critical business problems:</w:t>
      </w:r>
    </w:p>
    <w:p>
      <w:pPr>
        <w:pStyle w:val="ListParagraph"/>
        <w:numPr>
          <w:ilvl w:val="0"/>
          <w:numId w:val="2"/>
        </w:numPr>
        <w:spacing w:after="80"/>
      </w:pPr>
      <w:r>
        <w:rPr>
          <w:rFonts w:ascii="Arial" w:cs="Arial" w:eastAsia="Arial" w:hAnsi="Arial"/>
          <w:color w:val="1A1F36"/>
          <w:sz w:val="22"/>
          <w:szCs w:val="22"/>
        </w:rPr>
        <w:t xml:space="preserve">Discount waste: high-loyalty, low-sensitivity customers receive unnecessary discounts eroding margins</w:t>
      </w:r>
    </w:p>
    <w:p>
      <w:pPr>
        <w:pStyle w:val="ListParagraph"/>
        <w:numPr>
          <w:ilvl w:val="0"/>
          <w:numId w:val="2"/>
        </w:numPr>
        <w:spacing w:after="80"/>
      </w:pPr>
      <w:r>
        <w:rPr>
          <w:rFonts w:ascii="Arial" w:cs="Arial" w:eastAsia="Arial" w:hAnsi="Arial"/>
          <w:color w:val="1A1F36"/>
          <w:sz w:val="22"/>
          <w:szCs w:val="22"/>
        </w:rPr>
        <w:t xml:space="preserve">Conversion leakage: Very Sensitive customers in the Impulsive and Need-based intent segments are under-served</w:t>
      </w:r>
    </w:p>
    <w:p>
      <w:pPr>
        <w:pStyle w:val="ListParagraph"/>
        <w:numPr>
          <w:ilvl w:val="0"/>
          <w:numId w:val="2"/>
        </w:numPr>
        <w:spacing w:after="80"/>
      </w:pPr>
      <w:r>
        <w:rPr>
          <w:rFonts w:ascii="Arial" w:cs="Arial" w:eastAsia="Arial" w:hAnsi="Arial"/>
          <w:color w:val="1A1F36"/>
          <w:sz w:val="22"/>
          <w:szCs w:val="22"/>
        </w:rPr>
        <w:t xml:space="preserve">Retention risk: Wants-based customers (avg purchase $292) generate highest revenue but receive the same treatment as impulse buyers</w:t>
      </w:r>
    </w:p>
    <w:p>
      <w:pPr>
        <w:spacing w:after="80"/>
      </w:pPr>
    </w:p>
    <w:p>
      <w:pPr>
        <w:spacing w:after="100"/>
      </w:pPr>
      <w:r>
        <w:rPr>
          <w:rFonts w:ascii="Arial" w:cs="Arial" w:eastAsia="Arial" w:hAnsi="Arial"/>
          <w:b w:val="false"/>
          <w:bCs w:val="false"/>
          <w:color w:val="1A1F36"/>
          <w:sz w:val="22"/>
          <w:szCs w:val="22"/>
        </w:rPr>
        <w:t xml:space="preserve">Expected outcome: 8-12% improvement in gross margin on discounted transactions, 15-20% lift in conversion rate for targeted high-sensitivity segments, and measurable improvement in Customer Satisfaction scores (baseline: 5.40 overall).</w:t>
      </w:r>
    </w:p>
    <w:p>
      <w:pPr>
        <w:pStyle w:val="Heading1"/>
        <w:spacing w:after="180" w:before="360"/>
      </w:pPr>
      <w:r>
        <w:rPr>
          <w:rFonts w:ascii="Arial" w:cs="Arial" w:eastAsia="Arial" w:hAnsi="Arial"/>
          <w:b/>
          <w:bCs/>
          <w:color w:val="0A1F5C"/>
          <w:sz w:val="34"/>
          <w:szCs w:val="34"/>
        </w:rPr>
        <w:t xml:space="preserve">2. Business Context and Problem Statement</w:t>
      </w:r>
    </w:p>
    <w:p>
      <w:pPr>
        <w:pBdr>
          <w:bottom w:val="single" w:color="1F5EFF" w:sz="6" w:space="1"/>
        </w:pBdr>
        <w:spacing w:after="80" w:before="80"/>
      </w:pPr>
    </w:p>
    <w:p>
      <w:pPr>
        <w:pStyle w:val="Heading2"/>
        <w:spacing w:after="120" w:before="240"/>
      </w:pPr>
      <w:r>
        <w:rPr>
          <w:rFonts w:ascii="Arial" w:cs="Arial" w:eastAsia="Arial" w:hAnsi="Arial"/>
          <w:b/>
          <w:bCs/>
          <w:color w:val="0A1F5C"/>
          <w:sz w:val="28"/>
          <w:szCs w:val="28"/>
        </w:rPr>
        <w:t xml:space="preserve">2.1 Background</w:t>
      </w:r>
    </w:p>
    <w:p>
      <w:pPr>
        <w:spacing w:after="100"/>
      </w:pPr>
      <w:r>
        <w:rPr>
          <w:rFonts w:ascii="Arial" w:cs="Arial" w:eastAsia="Arial" w:hAnsi="Arial"/>
          <w:b w:val="false"/>
          <w:bCs w:val="false"/>
          <w:color w:val="1A1F36"/>
          <w:sz w:val="22"/>
          <w:szCs w:val="22"/>
        </w:rPr>
        <w:t xml:space="preserve">The current ecommerce platform operates a rules-based discount system: fixed percentage discounts are applied site-wide or category-wide during promotional windows. This approach fails to account for individual customer heterogeneity in price sensitivity, brand affinity, and purchase readiness — all of which are measurable signals available at the point of session.</w:t>
      </w:r>
    </w:p>
    <w:p>
      <w:pPr>
        <w:spacing w:after="80"/>
      </w:pPr>
    </w:p>
    <w:p>
      <w:pPr>
        <w:pStyle w:val="Heading2"/>
        <w:spacing w:after="120" w:before="240"/>
      </w:pPr>
      <w:r>
        <w:rPr>
          <w:rFonts w:ascii="Arial" w:cs="Arial" w:eastAsia="Arial" w:hAnsi="Arial"/>
          <w:b/>
          <w:bCs/>
          <w:color w:val="0A1F5C"/>
          <w:sz w:val="28"/>
          <w:szCs w:val="28"/>
        </w:rPr>
        <w:t xml:space="preserve">2.2 Dataset Insights Driving This BRD</w:t>
      </w:r>
    </w:p>
    <w:p>
      <w:pPr>
        <w:spacing w:after="100"/>
      </w:pPr>
      <w:r>
        <w:rPr>
          <w:rFonts w:ascii="Arial" w:cs="Arial" w:eastAsia="Arial" w:hAnsi="Arial"/>
          <w:b w:val="false"/>
          <w:bCs w:val="false"/>
          <w:color w:val="1A1F36"/>
          <w:sz w:val="22"/>
          <w:szCs w:val="22"/>
        </w:rPr>
        <w:t xml:space="preserve">Analysis of the Ecommerce Consumer Behavior dataset (n=1,000) reveals the following key data-backed findings: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Discount Sensitivity Segment</w:t>
            </w:r>
          </w:p>
        </w:tc>
        <w:tc>
          <w:tcPr>
            <w:tcW w:type="dxa" w:w="208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 of Customers</w:t>
            </w:r>
          </w:p>
        </w:tc>
        <w:tc>
          <w:tcPr>
            <w:tcW w:type="dxa" w:w="208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Avg Satisfaction</w:t>
            </w:r>
          </w:p>
        </w:tc>
        <w:tc>
          <w:tcPr>
            <w:tcW w:type="dxa" w:w="208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Avg Return Rate</w:t>
            </w:r>
          </w:p>
        </w:tc>
      </w:tr>
      <w:tr>
        <w:tc>
          <w:tcPr>
            <w:tcW w:type="dxa" w:w="3120"/>
            <w:tcBorders>
              <w:top w:val="single" w:color="D0D5E8" w:sz="4"/>
              <w:left w:val="single" w:color="D0D5E8" w:sz="4"/>
              <w:bottom w:val="single" w:color="D0D5E8" w:sz="4"/>
              <w:right w:val="single" w:color="D0D5E8" w:sz="4"/>
            </w:tcBorders>
            <w:shd w:fill="FFF7ED"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Very Sensitive</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35.0%</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5.40</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0.92</w:t>
            </w:r>
          </w:p>
        </w:tc>
      </w:tr>
      <w:tr>
        <w:tc>
          <w:tcPr>
            <w:tcW w:type="dxa" w:w="312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Somewhat Sensitive</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31.9%</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5.51</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0.96</w:t>
            </w:r>
          </w:p>
        </w:tc>
      </w:tr>
      <w:tr>
        <w:tc>
          <w:tcPr>
            <w:tcW w:type="dxa" w:w="312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Not Sensitive</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33.1%</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5.28</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0.98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Purchase Intent Segment</w:t>
            </w:r>
          </w:p>
        </w:tc>
        <w:tc>
          <w:tcPr>
            <w:tcW w:type="dxa" w:w="208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Avg Satisfaction</w:t>
            </w:r>
          </w:p>
        </w:tc>
        <w:tc>
          <w:tcPr>
            <w:tcW w:type="dxa" w:w="208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Avg Return Rate</w:t>
            </w:r>
          </w:p>
        </w:tc>
        <w:tc>
          <w:tcPr>
            <w:tcW w:type="dxa" w:w="208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Avg Purchase ($)</w:t>
            </w:r>
          </w:p>
        </w:tc>
      </w:tr>
      <w:tr>
        <w:tc>
          <w:tcPr>
            <w:tcW w:type="dxa" w:w="3120"/>
            <w:tcBorders>
              <w:top w:val="single" w:color="D0D5E8" w:sz="4"/>
              <w:left w:val="single" w:color="D0D5E8" w:sz="4"/>
              <w:bottom w:val="single" w:color="D0D5E8" w:sz="4"/>
              <w:right w:val="single" w:color="D0D5E8" w:sz="4"/>
            </w:tcBorders>
            <w:shd w:fill="EEF9F3"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Wants-based</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007A4D"/>
                <w:sz w:val="20"/>
                <w:szCs w:val="20"/>
              </w:rPr>
              <w:t xml:space="preserve">5.59</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0.94</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$292.01</w:t>
            </w:r>
          </w:p>
        </w:tc>
      </w:tr>
      <w:tr>
        <w:tc>
          <w:tcPr>
            <w:tcW w:type="dxa" w:w="312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Impulsive</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5.40</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1.00</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$256.84</w:t>
            </w:r>
          </w:p>
        </w:tc>
      </w:tr>
      <w:tr>
        <w:tc>
          <w:tcPr>
            <w:tcW w:type="dxa" w:w="312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Need-based</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5.38</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0.90</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$280.80</w:t>
            </w:r>
          </w:p>
        </w:tc>
      </w:tr>
      <w:tr>
        <w:tc>
          <w:tcPr>
            <w:tcW w:type="dxa" w:w="312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Planned</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5.23</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0.97</w:t>
            </w:r>
          </w:p>
        </w:tc>
        <w:tc>
          <w:tcPr>
            <w:tcW w:type="dxa" w:w="20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val="false"/>
                <w:bCs w:val="false"/>
                <w:color w:val="1A1F36"/>
                <w:sz w:val="20"/>
                <w:szCs w:val="20"/>
              </w:rPr>
              <w:t xml:space="preserve">$270.34</w:t>
            </w:r>
          </w:p>
        </w:tc>
      </w:tr>
    </w:tbl>
    <w:p>
      <w:pPr>
        <w:spacing w:after="80"/>
      </w:pPr>
    </w:p>
    <w:p>
      <w:pPr>
        <w:pStyle w:val="Heading2"/>
        <w:spacing w:after="120" w:before="240"/>
      </w:pPr>
      <w:r>
        <w:rPr>
          <w:rFonts w:ascii="Arial" w:cs="Arial" w:eastAsia="Arial" w:hAnsi="Arial"/>
          <w:b/>
          <w:bCs/>
          <w:color w:val="0A1F5C"/>
          <w:sz w:val="28"/>
          <w:szCs w:val="28"/>
        </w:rPr>
        <w:t xml:space="preserve">2.3 Problem Statement</w:t>
      </w:r>
    </w:p>
    <w:p>
      <w:pPr>
        <w:spacing w:after="100"/>
      </w:pPr>
      <w:r>
        <w:rPr>
          <w:rFonts w:ascii="Arial" w:cs="Arial" w:eastAsia="Arial" w:hAnsi="Arial"/>
          <w:b w:val="false"/>
          <w:bCs w:val="false"/>
          <w:color w:val="1A1F36"/>
          <w:sz w:val="22"/>
          <w:szCs w:val="22"/>
        </w:rPr>
        <w:t xml:space="preserve">The platform cannot currently differentiate discount offers based on real-time behavioural signals. Specifically:</w:t>
      </w:r>
    </w:p>
    <w:p>
      <w:pPr>
        <w:pStyle w:val="ListParagraph"/>
        <w:numPr>
          <w:ilvl w:val="0"/>
          <w:numId w:val="3"/>
        </w:numPr>
        <w:spacing w:after="80"/>
      </w:pPr>
      <w:r>
        <w:rPr>
          <w:rFonts w:ascii="Arial" w:cs="Arial" w:eastAsia="Arial" w:hAnsi="Arial"/>
          <w:color w:val="1A1F36"/>
          <w:sz w:val="22"/>
          <w:szCs w:val="22"/>
        </w:rPr>
        <w:t xml:space="preserve">Customers classified as Not Sensitive (33.1%) who would purchase at full price receive discount incentives, unnecessarily reducing gross margin.</w:t>
      </w:r>
    </w:p>
    <w:p>
      <w:pPr>
        <w:pStyle w:val="ListParagraph"/>
        <w:numPr>
          <w:ilvl w:val="0"/>
          <w:numId w:val="3"/>
        </w:numPr>
        <w:spacing w:after="80"/>
      </w:pPr>
      <w:r>
        <w:rPr>
          <w:rFonts w:ascii="Arial" w:cs="Arial" w:eastAsia="Arial" w:hAnsi="Arial"/>
          <w:color w:val="1A1F36"/>
          <w:sz w:val="22"/>
          <w:szCs w:val="22"/>
        </w:rPr>
        <w:t xml:space="preserve">Very Sensitive customers in high-purchase-value intent groups (Wants-based: avg $292) are not identified and activated in real time, leaving conversion revenue on the table.</w:t>
      </w:r>
    </w:p>
    <w:p>
      <w:pPr>
        <w:pStyle w:val="ListParagraph"/>
        <w:numPr>
          <w:ilvl w:val="0"/>
          <w:numId w:val="3"/>
        </w:numPr>
        <w:spacing w:after="80"/>
      </w:pPr>
      <w:r>
        <w:rPr>
          <w:rFonts w:ascii="Arial" w:cs="Arial" w:eastAsia="Arial" w:hAnsi="Arial"/>
          <w:color w:val="1A1F36"/>
          <w:sz w:val="22"/>
          <w:szCs w:val="22"/>
        </w:rPr>
        <w:t xml:space="preserve">Brand Loyalty scores (1-5 scale, mean ~3.0) are collected but not used in any pricing or discount logic.</w:t>
      </w:r>
    </w:p>
    <w:p>
      <w:pPr>
        <w:pStyle w:val="ListParagraph"/>
        <w:numPr>
          <w:ilvl w:val="0"/>
          <w:numId w:val="3"/>
        </w:numPr>
        <w:spacing w:after="80"/>
      </w:pPr>
      <w:r>
        <w:rPr>
          <w:rFonts w:ascii="Arial" w:cs="Arial" w:eastAsia="Arial" w:hAnsi="Arial"/>
          <w:color w:val="1A1F36"/>
          <w:sz w:val="22"/>
          <w:szCs w:val="22"/>
        </w:rPr>
        <w:t xml:space="preserve">Return rates vary by sensitivity segment (0.92 to 0.98), suggesting discount-driven purchases have slightly better retention — an under-exploited insight.</w:t>
      </w:r>
    </w:p>
    <w:p>
      <w:r>
        <w:br w:type="page"/>
      </w:r>
    </w:p>
    <w:p>
      <w:pPr>
        <w:pStyle w:val="Heading1"/>
        <w:spacing w:after="180" w:before="360"/>
      </w:pPr>
      <w:r>
        <w:rPr>
          <w:rFonts w:ascii="Arial" w:cs="Arial" w:eastAsia="Arial" w:hAnsi="Arial"/>
          <w:b/>
          <w:bCs/>
          <w:color w:val="0A1F5C"/>
          <w:sz w:val="34"/>
          <w:szCs w:val="34"/>
        </w:rPr>
        <w:t xml:space="preserve">3. Scope</w:t>
      </w:r>
    </w:p>
    <w:p>
      <w:pPr>
        <w:pBdr>
          <w:bottom w:val="single" w:color="1F5EFF" w:sz="6" w:space="1"/>
        </w:pBdr>
        <w:spacing w:after="80" w:before="80"/>
      </w:pPr>
    </w:p>
    <w:p>
      <w:pPr>
        <w:pStyle w:val="Heading2"/>
        <w:spacing w:after="120" w:before="240"/>
      </w:pPr>
      <w:r>
        <w:rPr>
          <w:rFonts w:ascii="Arial" w:cs="Arial" w:eastAsia="Arial" w:hAnsi="Arial"/>
          <w:b/>
          <w:bCs/>
          <w:color w:val="0A1F5C"/>
          <w:sz w:val="28"/>
          <w:szCs w:val="28"/>
        </w:rPr>
        <w:t xml:space="preserve">3.1 In Scope</w:t>
      </w:r>
    </w:p>
    <w:p>
      <w:pPr>
        <w:pStyle w:val="ListParagraph"/>
        <w:numPr>
          <w:ilvl w:val="0"/>
          <w:numId w:val="2"/>
        </w:numPr>
        <w:spacing w:after="80"/>
      </w:pPr>
      <w:r>
        <w:rPr>
          <w:rFonts w:ascii="Arial" w:cs="Arial" w:eastAsia="Arial" w:hAnsi="Arial"/>
          <w:color w:val="1A1F36"/>
          <w:sz w:val="22"/>
          <w:szCs w:val="22"/>
        </w:rPr>
        <w:t xml:space="preserve">Real-time discount personalisation engine consuming Discount_Sensitivity, Brand_Loyalty, and Purchase_Intent signals</w:t>
      </w:r>
    </w:p>
    <w:p>
      <w:pPr>
        <w:pStyle w:val="ListParagraph"/>
        <w:numPr>
          <w:ilvl w:val="0"/>
          <w:numId w:val="2"/>
        </w:numPr>
        <w:spacing w:after="80"/>
      </w:pPr>
      <w:r>
        <w:rPr>
          <w:rFonts w:ascii="Arial" w:cs="Arial" w:eastAsia="Arial" w:hAnsi="Arial"/>
          <w:color w:val="1A1F36"/>
          <w:sz w:val="22"/>
          <w:szCs w:val="22"/>
        </w:rPr>
        <w:t xml:space="preserve">Customer segmentation model with at least 9 segments (3 sensitivity x 3 intent tiers)</w:t>
      </w:r>
    </w:p>
    <w:p>
      <w:pPr>
        <w:pStyle w:val="ListParagraph"/>
        <w:numPr>
          <w:ilvl w:val="0"/>
          <w:numId w:val="2"/>
        </w:numPr>
        <w:spacing w:after="80"/>
      </w:pPr>
      <w:r>
        <w:rPr>
          <w:rFonts w:ascii="Arial" w:cs="Arial" w:eastAsia="Arial" w:hAnsi="Arial"/>
          <w:color w:val="1A1F36"/>
          <w:sz w:val="22"/>
          <w:szCs w:val="22"/>
        </w:rPr>
        <w:t xml:space="preserve">Discount value computation layer with configurable rules per segment</w:t>
      </w:r>
    </w:p>
    <w:p>
      <w:pPr>
        <w:pStyle w:val="ListParagraph"/>
        <w:numPr>
          <w:ilvl w:val="0"/>
          <w:numId w:val="2"/>
        </w:numPr>
        <w:spacing w:after="80"/>
      </w:pPr>
      <w:r>
        <w:rPr>
          <w:rFonts w:ascii="Arial" w:cs="Arial" w:eastAsia="Arial" w:hAnsi="Arial"/>
          <w:color w:val="1A1F36"/>
          <w:sz w:val="22"/>
          <w:szCs w:val="22"/>
        </w:rPr>
        <w:t xml:space="preserve">Integration with existing ecommerce checkout and product detail page (PDP) UI</w:t>
      </w:r>
    </w:p>
    <w:p>
      <w:pPr>
        <w:pStyle w:val="ListParagraph"/>
        <w:numPr>
          <w:ilvl w:val="0"/>
          <w:numId w:val="2"/>
        </w:numPr>
        <w:spacing w:after="80"/>
      </w:pPr>
      <w:r>
        <w:rPr>
          <w:rFonts w:ascii="Arial" w:cs="Arial" w:eastAsia="Arial" w:hAnsi="Arial"/>
          <w:color w:val="1A1F36"/>
          <w:sz w:val="22"/>
          <w:szCs w:val="22"/>
        </w:rPr>
        <w:t xml:space="preserve">A/B testing framework to measure incremental lift vs. control group</w:t>
      </w:r>
    </w:p>
    <w:p>
      <w:pPr>
        <w:pStyle w:val="ListParagraph"/>
        <w:numPr>
          <w:ilvl w:val="0"/>
          <w:numId w:val="2"/>
        </w:numPr>
        <w:spacing w:after="80"/>
      </w:pPr>
      <w:r>
        <w:rPr>
          <w:rFonts w:ascii="Arial" w:cs="Arial" w:eastAsia="Arial" w:hAnsi="Arial"/>
          <w:color w:val="1A1F36"/>
          <w:sz w:val="22"/>
          <w:szCs w:val="22"/>
        </w:rPr>
        <w:t xml:space="preserve">Real-time dashboard (ThoughtSpot or equivalent BI) to monitor discount performance by segment</w:t>
      </w:r>
    </w:p>
    <w:p>
      <w:pPr>
        <w:pStyle w:val="ListParagraph"/>
        <w:numPr>
          <w:ilvl w:val="0"/>
          <w:numId w:val="2"/>
        </w:numPr>
        <w:spacing w:after="80"/>
      </w:pPr>
      <w:r>
        <w:rPr>
          <w:rFonts w:ascii="Arial" w:cs="Arial" w:eastAsia="Arial" w:hAnsi="Arial"/>
          <w:color w:val="1A1F36"/>
          <w:sz w:val="22"/>
          <w:szCs w:val="22"/>
        </w:rPr>
        <w:t xml:space="preserve">Admin configuration interface for marketing team to set discount bands and rules without engineering intervention</w:t>
      </w:r>
    </w:p>
    <w:p>
      <w:pPr>
        <w:spacing w:after="80"/>
      </w:pPr>
    </w:p>
    <w:p>
      <w:pPr>
        <w:pStyle w:val="Heading2"/>
        <w:spacing w:after="120" w:before="240"/>
      </w:pPr>
      <w:r>
        <w:rPr>
          <w:rFonts w:ascii="Arial" w:cs="Arial" w:eastAsia="Arial" w:hAnsi="Arial"/>
          <w:b/>
          <w:bCs/>
          <w:color w:val="0A1F5C"/>
          <w:sz w:val="28"/>
          <w:szCs w:val="28"/>
        </w:rPr>
        <w:t xml:space="preserve">3.2 Out of Scope (v1.0)</w:t>
      </w:r>
    </w:p>
    <w:p>
      <w:pPr>
        <w:pStyle w:val="ListParagraph"/>
        <w:numPr>
          <w:ilvl w:val="0"/>
          <w:numId w:val="2"/>
        </w:numPr>
        <w:spacing w:after="80"/>
      </w:pPr>
      <w:r>
        <w:rPr>
          <w:rFonts w:ascii="Arial" w:cs="Arial" w:eastAsia="Arial" w:hAnsi="Arial"/>
          <w:color w:val="1A1F36"/>
          <w:sz w:val="22"/>
          <w:szCs w:val="22"/>
        </w:rPr>
        <w:t xml:space="preserve">Coupon code-based discounting (separate system)</w:t>
      </w:r>
    </w:p>
    <w:p>
      <w:pPr>
        <w:pStyle w:val="ListParagraph"/>
        <w:numPr>
          <w:ilvl w:val="0"/>
          <w:numId w:val="2"/>
        </w:numPr>
        <w:spacing w:after="80"/>
      </w:pPr>
      <w:r>
        <w:rPr>
          <w:rFonts w:ascii="Arial" w:cs="Arial" w:eastAsia="Arial" w:hAnsi="Arial"/>
          <w:color w:val="1A1F36"/>
          <w:sz w:val="22"/>
          <w:szCs w:val="22"/>
        </w:rPr>
        <w:t xml:space="preserve">B2B / bulk order discount logic</w:t>
      </w:r>
    </w:p>
    <w:p>
      <w:pPr>
        <w:pStyle w:val="ListParagraph"/>
        <w:numPr>
          <w:ilvl w:val="0"/>
          <w:numId w:val="2"/>
        </w:numPr>
        <w:spacing w:after="80"/>
      </w:pPr>
      <w:r>
        <w:rPr>
          <w:rFonts w:ascii="Arial" w:cs="Arial" w:eastAsia="Arial" w:hAnsi="Arial"/>
          <w:color w:val="1A1F36"/>
          <w:sz w:val="22"/>
          <w:szCs w:val="22"/>
        </w:rPr>
        <w:t xml:space="preserve">Loyalty points redemption engine</w:t>
      </w:r>
    </w:p>
    <w:p>
      <w:pPr>
        <w:pStyle w:val="ListParagraph"/>
        <w:numPr>
          <w:ilvl w:val="0"/>
          <w:numId w:val="2"/>
        </w:numPr>
        <w:spacing w:after="80"/>
      </w:pPr>
      <w:r>
        <w:rPr>
          <w:rFonts w:ascii="Arial" w:cs="Arial" w:eastAsia="Arial" w:hAnsi="Arial"/>
          <w:color w:val="1A1F36"/>
          <w:sz w:val="22"/>
          <w:szCs w:val="22"/>
        </w:rPr>
        <w:t xml:space="preserve">Discount combinability rules (multi-coupon stacking)</w:t>
      </w:r>
    </w:p>
    <w:p>
      <w:pPr>
        <w:pStyle w:val="ListParagraph"/>
        <w:numPr>
          <w:ilvl w:val="0"/>
          <w:numId w:val="2"/>
        </w:numPr>
        <w:spacing w:after="80"/>
      </w:pPr>
      <w:r>
        <w:rPr>
          <w:rFonts w:ascii="Arial" w:cs="Arial" w:eastAsia="Arial" w:hAnsi="Arial"/>
          <w:color w:val="1A1F36"/>
          <w:sz w:val="22"/>
          <w:szCs w:val="22"/>
        </w:rPr>
        <w:t xml:space="preserve">Offline / in-store channel integration</w:t>
      </w:r>
    </w:p>
    <w:p>
      <w:pPr>
        <w:pStyle w:val="Heading1"/>
        <w:spacing w:after="180" w:before="360"/>
      </w:pPr>
      <w:r>
        <w:rPr>
          <w:rFonts w:ascii="Arial" w:cs="Arial" w:eastAsia="Arial" w:hAnsi="Arial"/>
          <w:b/>
          <w:bCs/>
          <w:color w:val="0A1F5C"/>
          <w:sz w:val="34"/>
          <w:szCs w:val="34"/>
        </w:rPr>
        <w:t xml:space="preserve">4. Stakeholders</w:t>
      </w:r>
    </w:p>
    <w:p>
      <w:pPr>
        <w:pBdr>
          <w:bottom w:val="single" w:color="1F5EFF"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Stakeholder</w:t>
            </w:r>
          </w:p>
        </w:tc>
        <w:tc>
          <w:tcPr>
            <w:tcW w:type="dxa" w:w="24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Role</w:t>
            </w:r>
          </w:p>
        </w:tc>
        <w:tc>
          <w:tcPr>
            <w:tcW w:type="dxa" w:w="24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Responsibility</w:t>
            </w:r>
          </w:p>
        </w:tc>
        <w:tc>
          <w:tcPr>
            <w:tcW w:type="dxa" w:w="216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Approval Required</w:t>
            </w:r>
          </w:p>
        </w:tc>
      </w:tr>
      <w:tr>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VP of Product</w:t>
            </w:r>
          </w:p>
        </w:tc>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Executive Sponsor</w:t>
            </w:r>
          </w:p>
        </w:tc>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Strategic alignment, budget approval</w:t>
            </w:r>
          </w:p>
        </w:tc>
        <w:tc>
          <w:tcPr>
            <w:tcW w:type="dxa" w:w="21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Yes</w:t>
            </w:r>
          </w:p>
        </w:tc>
      </w:tr>
      <w:tr>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Product Manager</w:t>
            </w:r>
          </w:p>
        </w:tc>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Feature Owner</w:t>
            </w:r>
          </w:p>
        </w:tc>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Requirements, prioritisation, UAT</w:t>
            </w:r>
          </w:p>
        </w:tc>
        <w:tc>
          <w:tcPr>
            <w:tcW w:type="dxa" w:w="21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Yes</w:t>
            </w:r>
          </w:p>
        </w:tc>
      </w:tr>
      <w:tr>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Data Science Team</w:t>
            </w:r>
          </w:p>
        </w:tc>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ML / Scoring Model</w:t>
            </w:r>
          </w:p>
        </w:tc>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Signal extraction, model training, scoring API</w:t>
            </w:r>
          </w:p>
        </w:tc>
        <w:tc>
          <w:tcPr>
            <w:tcW w:type="dxa" w:w="21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Yes</w:t>
            </w:r>
          </w:p>
        </w:tc>
      </w:tr>
      <w:tr>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Backend Engineering</w:t>
            </w:r>
          </w:p>
        </w:tc>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API &amp; Integration</w:t>
            </w:r>
          </w:p>
        </w:tc>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Discount computation service, API endpoints</w:t>
            </w:r>
          </w:p>
        </w:tc>
        <w:tc>
          <w:tcPr>
            <w:tcW w:type="dxa" w:w="21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Yes</w:t>
            </w:r>
          </w:p>
        </w:tc>
      </w:tr>
      <w:tr>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Marketing Team</w:t>
            </w:r>
          </w:p>
        </w:tc>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Business User</w:t>
            </w:r>
          </w:p>
        </w:tc>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Discount band configuration, campaign management</w:t>
            </w:r>
          </w:p>
        </w:tc>
        <w:tc>
          <w:tcPr>
            <w:tcW w:type="dxa" w:w="21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6B7799"/>
                <w:sz w:val="20"/>
                <w:szCs w:val="20"/>
              </w:rPr>
              <w:t xml:space="preserve">No</w:t>
            </w:r>
          </w:p>
        </w:tc>
      </w:tr>
      <w:tr>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Finance / Revenue Ops</w:t>
            </w:r>
          </w:p>
        </w:tc>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Compliance</w:t>
            </w:r>
          </w:p>
        </w:tc>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Margin impact review, pricing policy</w:t>
            </w:r>
          </w:p>
        </w:tc>
        <w:tc>
          <w:tcPr>
            <w:tcW w:type="dxa" w:w="21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Yes</w:t>
            </w:r>
          </w:p>
        </w:tc>
      </w:tr>
      <w:tr>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QA Team</w:t>
            </w:r>
          </w:p>
        </w:tc>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Testing</w:t>
            </w:r>
          </w:p>
        </w:tc>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Test plan, regression, UAT sign-off</w:t>
            </w:r>
          </w:p>
        </w:tc>
        <w:tc>
          <w:tcPr>
            <w:tcW w:type="dxa" w:w="21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6B7799"/>
                <w:sz w:val="20"/>
                <w:szCs w:val="20"/>
              </w:rPr>
              <w:t xml:space="preserve">No</w:t>
            </w:r>
          </w:p>
        </w:tc>
      </w:tr>
    </w:tbl>
    <w:p>
      <w:r>
        <w:br w:type="page"/>
      </w:r>
    </w:p>
    <w:p>
      <w:pPr>
        <w:pStyle w:val="Heading1"/>
        <w:spacing w:after="180" w:before="360"/>
      </w:pPr>
      <w:r>
        <w:rPr>
          <w:rFonts w:ascii="Arial" w:cs="Arial" w:eastAsia="Arial" w:hAnsi="Arial"/>
          <w:b/>
          <w:bCs/>
          <w:color w:val="0A1F5C"/>
          <w:sz w:val="34"/>
          <w:szCs w:val="34"/>
        </w:rPr>
        <w:t xml:space="preserve">5. Business Requirements</w:t>
      </w:r>
    </w:p>
    <w:p>
      <w:pPr>
        <w:pBdr>
          <w:bottom w:val="single" w:color="1F5EFF" w:sz="6" w:space="1"/>
        </w:pBdr>
        <w:spacing w:after="80" w:before="80"/>
      </w:pPr>
    </w:p>
    <w:p>
      <w:pPr>
        <w:pStyle w:val="Heading2"/>
        <w:spacing w:after="120" w:before="240"/>
      </w:pPr>
      <w:r>
        <w:rPr>
          <w:rFonts w:ascii="Arial" w:cs="Arial" w:eastAsia="Arial" w:hAnsi="Arial"/>
          <w:b/>
          <w:bCs/>
          <w:color w:val="0A1F5C"/>
          <w:sz w:val="28"/>
          <w:szCs w:val="28"/>
        </w:rPr>
        <w:t xml:space="preserve">5.1 Core Functional Requirements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400"/>
        <w:gridCol w:w="1200"/>
        <w:gridCol w:w="960"/>
      </w:tblGrid>
      <w:tr>
        <w:tc>
          <w:tcPr>
            <w:tcW w:type="dxa" w:w="12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ID</w:t>
            </w:r>
          </w:p>
        </w:tc>
        <w:tc>
          <w:tcPr>
            <w:tcW w:type="dxa" w:w="16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Category</w:t>
            </w:r>
          </w:p>
        </w:tc>
        <w:tc>
          <w:tcPr>
            <w:tcW w:type="dxa" w:w="44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Requirement</w:t>
            </w:r>
          </w:p>
        </w:tc>
        <w:tc>
          <w:tcPr>
            <w:tcW w:type="dxa" w:w="12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Priority</w:t>
            </w:r>
          </w:p>
        </w:tc>
        <w:tc>
          <w:tcPr>
            <w:tcW w:type="dxa" w:w="96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Source</w:t>
            </w:r>
          </w:p>
        </w:tc>
      </w:tr>
      <w:tr>
        <w:tc>
          <w:tcPr>
            <w:tcW w:type="dxa" w:w="12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BR-01</w:t>
            </w:r>
          </w:p>
        </w:tc>
        <w:tc>
          <w:tcPr>
            <w:tcW w:type="dxa" w:w="16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Signal Ingestion</w:t>
            </w:r>
          </w:p>
        </w:tc>
        <w:tc>
          <w:tcPr>
            <w:tcW w:type="dxa" w:w="4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The system SHALL ingest Discount_Sensitivity (Very Sensitive / Somewhat Sensitive / Not Sensitive), Brand_Loyalty (1-5 integer scale), and Purchase_Intent (Need-based / Wants-based / Impulsive / Planned) signals for each active customer session in real time (latency &lt; 200ms).</w:t>
            </w:r>
          </w:p>
        </w:tc>
        <w:tc>
          <w:tcPr>
            <w:tcW w:type="dxa" w:w="12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Must Have</w:t>
            </w:r>
          </w:p>
        </w:tc>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Dataset</w:t>
            </w:r>
          </w:p>
        </w:tc>
      </w:tr>
      <w:tr>
        <w:tc>
          <w:tcPr>
            <w:tcW w:type="dxa" w:w="12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BR-02</w:t>
            </w:r>
          </w:p>
        </w:tc>
        <w:tc>
          <w:tcPr>
            <w:tcW w:type="dxa" w:w="16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Segmentation</w:t>
            </w:r>
          </w:p>
        </w:tc>
        <w:tc>
          <w:tcPr>
            <w:tcW w:type="dxa" w:w="4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The system SHALL classify each customer session into one of at least 12 segments derived from the combination of Discount_Sensitivity (3 tiers) and Purchase_Intent (4 tiers), with Brand_Loyalty used as a modifier within each segment.</w:t>
            </w:r>
          </w:p>
        </w:tc>
        <w:tc>
          <w:tcPr>
            <w:tcW w:type="dxa" w:w="12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Must Have</w:t>
            </w:r>
          </w:p>
        </w:tc>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Analysis</w:t>
            </w:r>
          </w:p>
        </w:tc>
      </w:tr>
      <w:tr>
        <w:tc>
          <w:tcPr>
            <w:tcW w:type="dxa" w:w="12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BR-03</w:t>
            </w:r>
          </w:p>
        </w:tc>
        <w:tc>
          <w:tcPr>
            <w:tcW w:type="dxa" w:w="16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Discount Computation</w:t>
            </w:r>
          </w:p>
        </w:tc>
        <w:tc>
          <w:tcPr>
            <w:tcW w:type="dxa" w:w="4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The system SHALL compute a personalised discount percentage per session using configurable rules: Very Sensitive + Impulsive = 10-20% discount; Very Sensitive + Wants-based = 8-15%; Somewhat Sensitive + Need-based = 5-10%; Not Sensitive (any intent) = 0-3% (loyalty reward only).</w:t>
            </w:r>
          </w:p>
        </w:tc>
        <w:tc>
          <w:tcPr>
            <w:tcW w:type="dxa" w:w="12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Must Have</w:t>
            </w:r>
          </w:p>
        </w:tc>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Dataset</w:t>
            </w:r>
          </w:p>
        </w:tc>
      </w:tr>
      <w:tr>
        <w:tc>
          <w:tcPr>
            <w:tcW w:type="dxa" w:w="12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BR-04</w:t>
            </w:r>
          </w:p>
        </w:tc>
        <w:tc>
          <w:tcPr>
            <w:tcW w:type="dxa" w:w="16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Brand Loyalty Modifier</w:t>
            </w:r>
          </w:p>
        </w:tc>
        <w:tc>
          <w:tcPr>
            <w:tcW w:type="dxa" w:w="4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For customers with Brand_Loyalty &gt;= 4 (high loyalty), the system SHALL reduce the computed discount by 20-40% to protect margin, since high-loyalty customers demonstrate lower price sensitivity regardless of their Discount_Sensitivity classification.</w:t>
            </w:r>
          </w:p>
        </w:tc>
        <w:tc>
          <w:tcPr>
            <w:tcW w:type="dxa" w:w="12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Must Have</w:t>
            </w:r>
          </w:p>
        </w:tc>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Dataset</w:t>
            </w:r>
          </w:p>
        </w:tc>
      </w:tr>
      <w:tr>
        <w:tc>
          <w:tcPr>
            <w:tcW w:type="dxa" w:w="12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BR-05</w:t>
            </w:r>
          </w:p>
        </w:tc>
        <w:tc>
          <w:tcPr>
            <w:tcW w:type="dxa" w:w="16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Real-Time Delivery</w:t>
            </w:r>
          </w:p>
        </w:tc>
        <w:tc>
          <w:tcPr>
            <w:tcW w:type="dxa" w:w="4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The computed discount SHALL be rendered on the Product Detail Page and Checkout page within 300ms of page load. Fallback to the default campaign discount (if any) SHALL occur if the engine response exceeds 500ms timeout.</w:t>
            </w:r>
          </w:p>
        </w:tc>
        <w:tc>
          <w:tcPr>
            <w:tcW w:type="dxa" w:w="12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Must Have</w:t>
            </w:r>
          </w:p>
        </w:tc>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Perf. Req.</w:t>
            </w:r>
          </w:p>
        </w:tc>
      </w:tr>
      <w:tr>
        <w:tc>
          <w:tcPr>
            <w:tcW w:type="dxa" w:w="12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BR-06</w:t>
            </w:r>
          </w:p>
        </w:tc>
        <w:tc>
          <w:tcPr>
            <w:tcW w:type="dxa" w:w="16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Admin Configuration</w:t>
            </w:r>
          </w:p>
        </w:tc>
        <w:tc>
          <w:tcPr>
            <w:tcW w:type="dxa" w:w="4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Marketing team users SHALL be able to configure discount percentage bands per segment via a no-code admin panel without engineering deployment. Changes SHALL take effect within 5 minutes of saving.</w:t>
            </w:r>
          </w:p>
        </w:tc>
        <w:tc>
          <w:tcPr>
            <w:tcW w:type="dxa" w:w="12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Should Have</w:t>
            </w:r>
          </w:p>
        </w:tc>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Ops</w:t>
            </w:r>
          </w:p>
        </w:tc>
      </w:tr>
      <w:tr>
        <w:tc>
          <w:tcPr>
            <w:tcW w:type="dxa" w:w="12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BR-07</w:t>
            </w:r>
          </w:p>
        </w:tc>
        <w:tc>
          <w:tcPr>
            <w:tcW w:type="dxa" w:w="16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A/B Testing</w:t>
            </w:r>
          </w:p>
        </w:tc>
        <w:tc>
          <w:tcPr>
            <w:tcW w:type="dxa" w:w="4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The system SHALL support A/B test assignment at the customer level. Control group customers SHALL receive the existing static discount logic. Split ratio SHALL be configurable (default 50/50). Minimum experiment duration: 14 days.</w:t>
            </w:r>
          </w:p>
        </w:tc>
        <w:tc>
          <w:tcPr>
            <w:tcW w:type="dxa" w:w="12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Should Have</w:t>
            </w:r>
          </w:p>
        </w:tc>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Analytics</w:t>
            </w:r>
          </w:p>
        </w:tc>
      </w:tr>
      <w:tr>
        <w:tc>
          <w:tcPr>
            <w:tcW w:type="dxa" w:w="12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BR-08</w:t>
            </w:r>
          </w:p>
        </w:tc>
        <w:tc>
          <w:tcPr>
            <w:tcW w:type="dxa" w:w="16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Reporting</w:t>
            </w:r>
          </w:p>
        </w:tc>
        <w:tc>
          <w:tcPr>
            <w:tcW w:type="dxa" w:w="4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 real-time BI dashboard SHALL display conversion rate, average discount depth, gross margin impact, and Customer_Satisfaction score delta, broken down by segment. Data latency SHALL not exceed 1 hour.</w:t>
            </w:r>
          </w:p>
        </w:tc>
        <w:tc>
          <w:tcPr>
            <w:tcW w:type="dxa" w:w="12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Should Have</w:t>
            </w:r>
          </w:p>
        </w:tc>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Analytics</w:t>
            </w:r>
          </w:p>
        </w:tc>
      </w:tr>
      <w:tr>
        <w:tc>
          <w:tcPr>
            <w:tcW w:type="dxa" w:w="12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BR-09</w:t>
            </w:r>
          </w:p>
        </w:tc>
        <w:tc>
          <w:tcPr>
            <w:tcW w:type="dxa" w:w="16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Audit Logging</w:t>
            </w:r>
          </w:p>
        </w:tc>
        <w:tc>
          <w:tcPr>
            <w:tcW w:type="dxa" w:w="4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Every discount offer generated SHALL be logged with: customer session ID, segment classification, discount value offered, whether discount was used, and final purchase amount. Retention: 24 months.</w:t>
            </w:r>
          </w:p>
        </w:tc>
        <w:tc>
          <w:tcPr>
            <w:tcW w:type="dxa" w:w="12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Must Have</w:t>
            </w:r>
          </w:p>
        </w:tc>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Compliance</w:t>
            </w:r>
          </w:p>
        </w:tc>
      </w:tr>
      <w:tr>
        <w:tc>
          <w:tcPr>
            <w:tcW w:type="dxa" w:w="12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BR-10</w:t>
            </w:r>
          </w:p>
        </w:tc>
        <w:tc>
          <w:tcPr>
            <w:tcW w:type="dxa" w:w="16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Personalisation Ethics</w:t>
            </w:r>
          </w:p>
        </w:tc>
        <w:tc>
          <w:tcPr>
            <w:tcW w:type="dxa" w:w="4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The system SHALL not apply differentiated discount logic based on demographic attributes (Age, Gender, Location). Signal inputs are restricted to behavioural signals only. A bias audit SHALL be conducted quarterly.</w:t>
            </w:r>
          </w:p>
        </w:tc>
        <w:tc>
          <w:tcPr>
            <w:tcW w:type="dxa" w:w="12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Must Have</w:t>
            </w:r>
          </w:p>
        </w:tc>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Compliance</w:t>
            </w:r>
          </w:p>
        </w:tc>
      </w:tr>
    </w:tbl>
    <w:p>
      <w:pPr>
        <w:spacing w:after="80"/>
      </w:pPr>
    </w:p>
    <w:p>
      <w:pPr>
        <w:pStyle w:val="Heading2"/>
        <w:spacing w:after="120" w:before="240"/>
      </w:pPr>
      <w:r>
        <w:rPr>
          <w:rFonts w:ascii="Arial" w:cs="Arial" w:eastAsia="Arial" w:hAnsi="Arial"/>
          <w:b/>
          <w:bCs/>
          <w:color w:val="0A1F5C"/>
          <w:sz w:val="28"/>
          <w:szCs w:val="28"/>
        </w:rPr>
        <w:t xml:space="preserve">5.2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000"/>
        <w:gridCol w:w="1760"/>
      </w:tblGrid>
      <w:tr>
        <w:tc>
          <w:tcPr>
            <w:tcW w:type="dxa" w:w="18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ID</w:t>
            </w:r>
          </w:p>
        </w:tc>
        <w:tc>
          <w:tcPr>
            <w:tcW w:type="dxa" w:w="18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Type</w:t>
            </w:r>
          </w:p>
        </w:tc>
        <w:tc>
          <w:tcPr>
            <w:tcW w:type="dxa" w:w="40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Requirement</w:t>
            </w:r>
          </w:p>
        </w:tc>
        <w:tc>
          <w:tcPr>
            <w:tcW w:type="dxa" w:w="176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Target</w:t>
            </w:r>
          </w:p>
        </w:tc>
      </w:tr>
      <w:tr>
        <w:tc>
          <w:tcPr>
            <w:tcW w:type="dxa" w:w="1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NFR-01</w:t>
            </w:r>
          </w:p>
        </w:tc>
        <w:tc>
          <w:tcPr>
            <w:tcW w:type="dxa" w:w="1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Performance</w:t>
            </w:r>
          </w:p>
        </w:tc>
        <w:tc>
          <w:tcPr>
            <w:tcW w:type="dxa" w:w="40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Discount computation API response time</w:t>
            </w:r>
          </w:p>
        </w:tc>
        <w:tc>
          <w:tcPr>
            <w:tcW w:type="dxa" w:w="17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bCs/>
                <w:color w:val="1A1F36"/>
                <w:sz w:val="20"/>
                <w:szCs w:val="20"/>
              </w:rPr>
              <w:t xml:space="preserve">p95 &lt; 200ms</w:t>
            </w:r>
          </w:p>
        </w:tc>
      </w:tr>
      <w:tr>
        <w:tc>
          <w:tcPr>
            <w:tcW w:type="dxa" w:w="18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NFR-02</w:t>
            </w:r>
          </w:p>
        </w:tc>
        <w:tc>
          <w:tcPr>
            <w:tcW w:type="dxa" w:w="18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Availability</w:t>
            </w:r>
          </w:p>
        </w:tc>
        <w:tc>
          <w:tcPr>
            <w:tcW w:type="dxa" w:w="40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Engine uptime (excluding planned maintenance)</w:t>
            </w:r>
          </w:p>
        </w:tc>
        <w:tc>
          <w:tcPr>
            <w:tcW w:type="dxa" w:w="17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bCs/>
                <w:color w:val="1A1F36"/>
                <w:sz w:val="20"/>
                <w:szCs w:val="20"/>
              </w:rPr>
              <w:t xml:space="preserve">99.9% SLA</w:t>
            </w:r>
          </w:p>
        </w:tc>
      </w:tr>
      <w:tr>
        <w:tc>
          <w:tcPr>
            <w:tcW w:type="dxa" w:w="1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NFR-03</w:t>
            </w:r>
          </w:p>
        </w:tc>
        <w:tc>
          <w:tcPr>
            <w:tcW w:type="dxa" w:w="1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Scalability</w:t>
            </w:r>
          </w:p>
        </w:tc>
        <w:tc>
          <w:tcPr>
            <w:tcW w:type="dxa" w:w="40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Concurrent active sessions supported</w:t>
            </w:r>
          </w:p>
        </w:tc>
        <w:tc>
          <w:tcPr>
            <w:tcW w:type="dxa" w:w="17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bCs/>
                <w:color w:val="1A1F36"/>
                <w:sz w:val="20"/>
                <w:szCs w:val="20"/>
              </w:rPr>
              <w:t xml:space="preserve">50,000+</w:t>
            </w:r>
          </w:p>
        </w:tc>
      </w:tr>
      <w:tr>
        <w:tc>
          <w:tcPr>
            <w:tcW w:type="dxa" w:w="18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NFR-04</w:t>
            </w:r>
          </w:p>
        </w:tc>
        <w:tc>
          <w:tcPr>
            <w:tcW w:type="dxa" w:w="18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Security</w:t>
            </w:r>
          </w:p>
        </w:tc>
        <w:tc>
          <w:tcPr>
            <w:tcW w:type="dxa" w:w="40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All signal data encrypted in transit and at rest</w:t>
            </w:r>
          </w:p>
        </w:tc>
        <w:tc>
          <w:tcPr>
            <w:tcW w:type="dxa" w:w="17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bCs/>
                <w:color w:val="1A1F36"/>
                <w:sz w:val="20"/>
                <w:szCs w:val="20"/>
              </w:rPr>
              <w:t xml:space="preserve">AES-256 / TLS 1.3</w:t>
            </w:r>
          </w:p>
        </w:tc>
      </w:tr>
      <w:tr>
        <w:tc>
          <w:tcPr>
            <w:tcW w:type="dxa" w:w="1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NFR-05</w:t>
            </w:r>
          </w:p>
        </w:tc>
        <w:tc>
          <w:tcPr>
            <w:tcW w:type="dxa" w:w="1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Data Privacy</w:t>
            </w:r>
          </w:p>
        </w:tc>
        <w:tc>
          <w:tcPr>
            <w:tcW w:type="dxa" w:w="40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GDPR-compliant signal collection with consent gating</w:t>
            </w:r>
          </w:p>
        </w:tc>
        <w:tc>
          <w:tcPr>
            <w:tcW w:type="dxa" w:w="17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bCs/>
                <w:color w:val="1A1F36"/>
                <w:sz w:val="20"/>
                <w:szCs w:val="20"/>
              </w:rPr>
              <w:t xml:space="preserve">GDPR / CCPA</w:t>
            </w:r>
          </w:p>
        </w:tc>
      </w:tr>
    </w:tbl>
    <w:p>
      <w:r>
        <w:br w:type="page"/>
      </w:r>
    </w:p>
    <w:p>
      <w:pPr>
        <w:pStyle w:val="Heading1"/>
        <w:spacing w:after="180" w:before="360"/>
      </w:pPr>
      <w:r>
        <w:rPr>
          <w:rFonts w:ascii="Arial" w:cs="Arial" w:eastAsia="Arial" w:hAnsi="Arial"/>
          <w:b/>
          <w:bCs/>
          <w:color w:val="0A1F5C"/>
          <w:sz w:val="34"/>
          <w:szCs w:val="34"/>
        </w:rPr>
        <w:t xml:space="preserve">6. Discount Logic Framework (Business Rules)</w:t>
      </w:r>
    </w:p>
    <w:p>
      <w:pPr>
        <w:pBdr>
          <w:bottom w:val="single" w:color="1F5EFF" w:sz="6" w:space="1"/>
        </w:pBdr>
        <w:spacing w:after="80" w:before="80"/>
      </w:pPr>
    </w:p>
    <w:p>
      <w:pPr>
        <w:spacing w:after="100"/>
      </w:pPr>
      <w:r>
        <w:rPr>
          <w:rFonts w:ascii="Arial" w:cs="Arial" w:eastAsia="Arial" w:hAnsi="Arial"/>
          <w:b w:val="false"/>
          <w:bCs w:val="false"/>
          <w:color w:val="1A1F36"/>
          <w:sz w:val="22"/>
          <w:szCs w:val="22"/>
        </w:rPr>
        <w:t xml:space="preserve">The following matrix defines the baseline discount percentage bands derived from dataset analysis. All values are configurable by the admin panel.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Discount Sensitivity \ Purchase Intent</w:t>
            </w:r>
          </w:p>
        </w:tc>
        <w:tc>
          <w:tcPr>
            <w:tcW w:type="dxa" w:w="18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Need-based</w:t>
            </w:r>
          </w:p>
        </w:tc>
        <w:tc>
          <w:tcPr>
            <w:tcW w:type="dxa" w:w="18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Wants-based</w:t>
            </w:r>
          </w:p>
        </w:tc>
        <w:tc>
          <w:tcPr>
            <w:tcW w:type="dxa" w:w="18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Impulsive</w:t>
            </w:r>
          </w:p>
        </w:tc>
        <w:tc>
          <w:tcPr>
            <w:tcW w:type="dxa" w:w="18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Planned</w:t>
            </w:r>
          </w:p>
        </w:tc>
      </w:tr>
      <w:tr>
        <w:tc>
          <w:tcPr>
            <w:tcW w:type="dxa" w:w="2160"/>
            <w:tcBorders>
              <w:top w:val="single" w:color="D0D5E8" w:sz="4"/>
              <w:left w:val="single" w:color="D0D5E8" w:sz="4"/>
              <w:bottom w:val="single" w:color="D0D5E8" w:sz="4"/>
              <w:right w:val="single" w:color="D0D5E8" w:sz="4"/>
            </w:tcBorders>
            <w:shd w:fill="FFF3E0" w:val="clear"/>
            <w:tcMar>
              <w:top w:type="dxa" w:w="80"/>
              <w:left w:type="dxa" w:w="140"/>
              <w:bottom w:type="dxa" w:w="80"/>
              <w:right w:type="dxa" w:w="140"/>
            </w:tcMar>
            <w:vAlign w:val="center"/>
          </w:tcPr>
          <w:p>
            <w:pPr>
              <w:jc w:val="left"/>
            </w:pPr>
            <w:r>
              <w:rPr>
                <w:rFonts w:ascii="Arial" w:cs="Arial" w:eastAsia="Arial" w:hAnsi="Arial"/>
                <w:b/>
                <w:bCs/>
                <w:color w:val="1A1F36"/>
                <w:sz w:val="20"/>
                <w:szCs w:val="20"/>
              </w:rPr>
              <w:t xml:space="preserve">Very Sensitive</w:t>
            </w:r>
          </w:p>
        </w:tc>
        <w:tc>
          <w:tcPr>
            <w:tcW w:type="dxa" w:w="1800"/>
            <w:tcBorders>
              <w:top w:val="single" w:color="D0D5E8" w:sz="4"/>
              <w:left w:val="single" w:color="D0D5E8" w:sz="4"/>
              <w:bottom w:val="single" w:color="D0D5E8" w:sz="4"/>
              <w:right w:val="single" w:color="D0D5E8" w:sz="4"/>
            </w:tcBorders>
            <w:shd w:fill="FFF7ED"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12-18%</w:t>
            </w:r>
          </w:p>
        </w:tc>
        <w:tc>
          <w:tcPr>
            <w:tcW w:type="dxa" w:w="1800"/>
            <w:tcBorders>
              <w:top w:val="single" w:color="D0D5E8" w:sz="4"/>
              <w:left w:val="single" w:color="D0D5E8" w:sz="4"/>
              <w:bottom w:val="single" w:color="D0D5E8" w:sz="4"/>
              <w:right w:val="single" w:color="D0D5E8" w:sz="4"/>
            </w:tcBorders>
            <w:shd w:fill="FFF7ED"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8-15%</w:t>
            </w:r>
          </w:p>
        </w:tc>
        <w:tc>
          <w:tcPr>
            <w:tcW w:type="dxa" w:w="1800"/>
            <w:tcBorders>
              <w:top w:val="single" w:color="D0D5E8" w:sz="4"/>
              <w:left w:val="single" w:color="D0D5E8" w:sz="4"/>
              <w:bottom w:val="single" w:color="D0D5E8" w:sz="4"/>
              <w:right w:val="single" w:color="D0D5E8" w:sz="4"/>
            </w:tcBorders>
            <w:shd w:fill="FEE2E2"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15-22%</w:t>
            </w:r>
          </w:p>
        </w:tc>
        <w:tc>
          <w:tcPr>
            <w:tcW w:type="dxa" w:w="1800"/>
            <w:tcBorders>
              <w:top w:val="single" w:color="D0D5E8" w:sz="4"/>
              <w:left w:val="single" w:color="D0D5E8" w:sz="4"/>
              <w:bottom w:val="single" w:color="D0D5E8" w:sz="4"/>
              <w:right w:val="single" w:color="D0D5E8" w:sz="4"/>
            </w:tcBorders>
            <w:shd w:fill="FFF7ED"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8-12%</w:t>
            </w:r>
          </w:p>
        </w:tc>
      </w:tr>
      <w:tr>
        <w:tc>
          <w:tcPr>
            <w:tcW w:type="dxa" w:w="2160"/>
            <w:tcBorders>
              <w:top w:val="single" w:color="D0D5E8" w:sz="4"/>
              <w:left w:val="single" w:color="D0D5E8" w:sz="4"/>
              <w:bottom w:val="single" w:color="D0D5E8" w:sz="4"/>
              <w:right w:val="single" w:color="D0D5E8" w:sz="4"/>
            </w:tcBorders>
            <w:shd w:fill="F0FDF4" w:val="clear"/>
            <w:tcMar>
              <w:top w:type="dxa" w:w="80"/>
              <w:left w:type="dxa" w:w="140"/>
              <w:bottom w:type="dxa" w:w="80"/>
              <w:right w:type="dxa" w:w="140"/>
            </w:tcMar>
            <w:vAlign w:val="center"/>
          </w:tcPr>
          <w:p>
            <w:pPr>
              <w:jc w:val="left"/>
            </w:pPr>
            <w:r>
              <w:rPr>
                <w:rFonts w:ascii="Arial" w:cs="Arial" w:eastAsia="Arial" w:hAnsi="Arial"/>
                <w:b/>
                <w:bCs/>
                <w:color w:val="1A1F36"/>
                <w:sz w:val="20"/>
                <w:szCs w:val="20"/>
              </w:rPr>
              <w:t xml:space="preserve">Somewhat Sensitive</w:t>
            </w:r>
          </w:p>
        </w:tc>
        <w:tc>
          <w:tcPr>
            <w:tcW w:type="dxa" w:w="1800"/>
            <w:tcBorders>
              <w:top w:val="single" w:color="D0D5E8" w:sz="4"/>
              <w:left w:val="single" w:color="D0D5E8" w:sz="4"/>
              <w:bottom w:val="single" w:color="D0D5E8" w:sz="4"/>
              <w:right w:val="single" w:color="D0D5E8" w:sz="4"/>
            </w:tcBorders>
            <w:shd w:fill="F0FDF4"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5-10%</w:t>
            </w:r>
          </w:p>
        </w:tc>
        <w:tc>
          <w:tcPr>
            <w:tcW w:type="dxa" w:w="1800"/>
            <w:tcBorders>
              <w:top w:val="single" w:color="D0D5E8" w:sz="4"/>
              <w:left w:val="single" w:color="D0D5E8" w:sz="4"/>
              <w:bottom w:val="single" w:color="D0D5E8" w:sz="4"/>
              <w:right w:val="single" w:color="D0D5E8" w:sz="4"/>
            </w:tcBorders>
            <w:shd w:fill="F0FDF4"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5-8%</w:t>
            </w:r>
          </w:p>
        </w:tc>
        <w:tc>
          <w:tcPr>
            <w:tcW w:type="dxa" w:w="1800"/>
            <w:tcBorders>
              <w:top w:val="single" w:color="D0D5E8" w:sz="4"/>
              <w:left w:val="single" w:color="D0D5E8" w:sz="4"/>
              <w:bottom w:val="single" w:color="D0D5E8" w:sz="4"/>
              <w:right w:val="single" w:color="D0D5E8" w:sz="4"/>
            </w:tcBorders>
            <w:shd w:fill="F0FDF4"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8-12%</w:t>
            </w:r>
          </w:p>
        </w:tc>
        <w:tc>
          <w:tcPr>
            <w:tcW w:type="dxa" w:w="1800"/>
            <w:tcBorders>
              <w:top w:val="single" w:color="D0D5E8" w:sz="4"/>
              <w:left w:val="single" w:color="D0D5E8" w:sz="4"/>
              <w:bottom w:val="single" w:color="D0D5E8" w:sz="4"/>
              <w:right w:val="single" w:color="D0D5E8" w:sz="4"/>
            </w:tcBorders>
            <w:shd w:fill="F0FDF4"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4-7%</w:t>
            </w:r>
          </w:p>
        </w:tc>
      </w:tr>
      <w:tr>
        <w:tc>
          <w:tcPr>
            <w:tcW w:type="dxa" w:w="21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bCs/>
                <w:color w:val="1A1F36"/>
                <w:sz w:val="20"/>
                <w:szCs w:val="20"/>
              </w:rPr>
              <w:t xml:space="preserve">Not Sensitive</w:t>
            </w:r>
          </w:p>
        </w:tc>
        <w:tc>
          <w:tcPr>
            <w:tcW w:type="dxa" w:w="1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0-3%</w:t>
            </w:r>
          </w:p>
        </w:tc>
        <w:tc>
          <w:tcPr>
            <w:tcW w:type="dxa" w:w="1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0-3%</w:t>
            </w:r>
          </w:p>
        </w:tc>
        <w:tc>
          <w:tcPr>
            <w:tcW w:type="dxa" w:w="1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0-5%</w:t>
            </w:r>
          </w:p>
        </w:tc>
        <w:tc>
          <w:tcPr>
            <w:tcW w:type="dxa" w:w="1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0-2%</w:t>
            </w:r>
          </w:p>
        </w:tc>
      </w:tr>
    </w:tbl>
    <w:p>
      <w:pPr>
        <w:spacing w:after="80"/>
      </w:pPr>
    </w:p>
    <w:p>
      <w:pPr>
        <w:spacing w:after="100"/>
      </w:pPr>
      <w:r>
        <w:rPr>
          <w:rFonts w:ascii="Arial" w:cs="Arial" w:eastAsia="Arial" w:hAnsi="Arial"/>
          <w:b w:val="false"/>
          <w:bCs w:val="false"/>
          <w:color w:val="1A1F36"/>
          <w:sz w:val="22"/>
          <w:szCs w:val="22"/>
        </w:rPr>
        <w:t xml:space="preserve">Brand Loyalty Modifier (applied after base discount computation):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Brand_Loyalty Score</w:t>
            </w:r>
          </w:p>
        </w:tc>
        <w:tc>
          <w:tcPr>
            <w:tcW w:type="dxa" w:w="351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Modifier</w:t>
            </w:r>
          </w:p>
        </w:tc>
        <w:tc>
          <w:tcPr>
            <w:tcW w:type="dxa" w:w="351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Rationale</w:t>
            </w:r>
          </w:p>
        </w:tc>
      </w:tr>
      <w:tr>
        <w:tc>
          <w:tcPr>
            <w:tcW w:type="dxa" w:w="234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5 (Highest)</w:t>
            </w:r>
          </w:p>
        </w:tc>
        <w:tc>
          <w:tcPr>
            <w:tcW w:type="dxa" w:w="351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Reduce computed discount by 40%</w:t>
            </w:r>
          </w:p>
        </w:tc>
        <w:tc>
          <w:tcPr>
            <w:tcW w:type="dxa" w:w="351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High loyalty — price insensitive, protect margin</w:t>
            </w:r>
          </w:p>
        </w:tc>
      </w:tr>
      <w:tr>
        <w:tc>
          <w:tcPr>
            <w:tcW w:type="dxa" w:w="234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4</w:t>
            </w:r>
          </w:p>
        </w:tc>
        <w:tc>
          <w:tcPr>
            <w:tcW w:type="dxa" w:w="351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Reduce computed discount by 20%</w:t>
            </w:r>
          </w:p>
        </w:tc>
        <w:tc>
          <w:tcPr>
            <w:tcW w:type="dxa" w:w="351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Moderate-high loyalty — discount unnecessary for retention</w:t>
            </w:r>
          </w:p>
        </w:tc>
      </w:tr>
      <w:tr>
        <w:tc>
          <w:tcPr>
            <w:tcW w:type="dxa" w:w="234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3</w:t>
            </w:r>
          </w:p>
        </w:tc>
        <w:tc>
          <w:tcPr>
            <w:tcW w:type="dxa" w:w="351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No modification (baseline)</w:t>
            </w:r>
          </w:p>
        </w:tc>
        <w:tc>
          <w:tcPr>
            <w:tcW w:type="dxa" w:w="351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Neutral loyalty — standard discount applies</w:t>
            </w:r>
          </w:p>
        </w:tc>
      </w:tr>
      <w:tr>
        <w:tc>
          <w:tcPr>
            <w:tcW w:type="dxa" w:w="234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2</w:t>
            </w:r>
          </w:p>
        </w:tc>
        <w:tc>
          <w:tcPr>
            <w:tcW w:type="dxa" w:w="351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Increase computed discount by 10%</w:t>
            </w:r>
          </w:p>
        </w:tc>
        <w:tc>
          <w:tcPr>
            <w:tcW w:type="dxa" w:w="351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At-risk loyalty — discount may accelerate commitment</w:t>
            </w:r>
          </w:p>
        </w:tc>
      </w:tr>
      <w:tr>
        <w:tc>
          <w:tcPr>
            <w:tcW w:type="dxa" w:w="234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1 (Lowest)</w:t>
            </w:r>
          </w:p>
        </w:tc>
        <w:tc>
          <w:tcPr>
            <w:tcW w:type="dxa" w:w="351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Increase computed discount by 20%</w:t>
            </w:r>
          </w:p>
        </w:tc>
        <w:tc>
          <w:tcPr>
            <w:tcW w:type="dxa" w:w="351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Low loyalty — aggressive discount to win retention</w:t>
            </w:r>
          </w:p>
        </w:tc>
      </w:tr>
    </w:tbl>
    <w:p>
      <w:pPr>
        <w:pStyle w:val="Heading1"/>
        <w:spacing w:after="180" w:before="360"/>
      </w:pPr>
      <w:r>
        <w:rPr>
          <w:rFonts w:ascii="Arial" w:cs="Arial" w:eastAsia="Arial" w:hAnsi="Arial"/>
          <w:b/>
          <w:bCs/>
          <w:color w:val="0A1F5C"/>
          <w:sz w:val="34"/>
          <w:szCs w:val="34"/>
        </w:rPr>
        <w:t xml:space="preserve">7. User Stories</w:t>
      </w:r>
    </w:p>
    <w:p>
      <w:pPr>
        <w:pBdr>
          <w:bottom w:val="single" w:color="1F5EFF"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4400"/>
        <w:gridCol w:w="960"/>
        <w:gridCol w:w="1240"/>
      </w:tblGrid>
      <w:tr>
        <w:tc>
          <w:tcPr>
            <w:tcW w:type="dxa" w:w="96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ID</w:t>
            </w:r>
          </w:p>
        </w:tc>
        <w:tc>
          <w:tcPr>
            <w:tcW w:type="dxa" w:w="18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As a...</w:t>
            </w:r>
          </w:p>
        </w:tc>
        <w:tc>
          <w:tcPr>
            <w:tcW w:type="dxa" w:w="44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I want to...</w:t>
            </w:r>
          </w:p>
        </w:tc>
        <w:tc>
          <w:tcPr>
            <w:tcW w:type="dxa" w:w="96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Priority</w:t>
            </w:r>
          </w:p>
        </w:tc>
        <w:tc>
          <w:tcPr>
            <w:tcW w:type="dxa" w:w="124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Acceptance Criteria</w:t>
            </w:r>
          </w:p>
        </w:tc>
      </w:tr>
      <w:tr>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US-01</w:t>
            </w:r>
          </w:p>
        </w:tc>
        <w:tc>
          <w:tcPr>
            <w:tcW w:type="dxa" w:w="1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Shopper (Very Sensitive, Impulsive)</w:t>
            </w:r>
          </w:p>
        </w:tc>
        <w:tc>
          <w:tcPr>
            <w:tcW w:type="dxa" w:w="4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See a personalised discount on the PDP when I am about to make an impulse purchase, so I complete the purchase without cart abandonment.</w:t>
            </w:r>
          </w:p>
        </w:tc>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P0</w:t>
            </w:r>
          </w:p>
        </w:tc>
        <w:tc>
          <w:tcPr>
            <w:tcW w:type="dxa" w:w="124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Discount visible &lt; 300ms; conversion measured</w:t>
            </w:r>
          </w:p>
        </w:tc>
      </w:tr>
      <w:tr>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US-02</w:t>
            </w:r>
          </w:p>
        </w:tc>
        <w:tc>
          <w:tcPr>
            <w:tcW w:type="dxa" w:w="18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Shopper (Not Sensitive, Brand Loyal 5)</w:t>
            </w:r>
          </w:p>
        </w:tc>
        <w:tc>
          <w:tcPr>
            <w:tcW w:type="dxa" w:w="4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NOT be shown a discount I do not need, so the brand value is maintained and I am not conditioned to wait for discounts.</w:t>
            </w:r>
          </w:p>
        </w:tc>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P0</w:t>
            </w:r>
          </w:p>
        </w:tc>
        <w:tc>
          <w:tcPr>
            <w:tcW w:type="dxa" w:w="124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0% discount shown; full price purchase tracked</w:t>
            </w:r>
          </w:p>
        </w:tc>
      </w:tr>
      <w:tr>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US-03</w:t>
            </w:r>
          </w:p>
        </w:tc>
        <w:tc>
          <w:tcPr>
            <w:tcW w:type="dxa" w:w="1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Shopper (Wants-based, Very Sensitive)</w:t>
            </w:r>
          </w:p>
        </w:tc>
        <w:tc>
          <w:tcPr>
            <w:tcW w:type="dxa" w:w="4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Receive a meaningful discount when browsing aspirational products, so I am nudged from browsing to buying.</w:t>
            </w:r>
          </w:p>
        </w:tc>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24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8-15% discount shown; click-to-purchase rate tracked</w:t>
            </w:r>
          </w:p>
        </w:tc>
      </w:tr>
      <w:tr>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US-04</w:t>
            </w:r>
          </w:p>
        </w:tc>
        <w:tc>
          <w:tcPr>
            <w:tcW w:type="dxa" w:w="18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Marketing Manager</w:t>
            </w:r>
          </w:p>
        </w:tc>
        <w:tc>
          <w:tcPr>
            <w:tcW w:type="dxa" w:w="4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Configure discount bands per segment from an admin dashboard without raising a tech ticket, so I can respond to campaign needs in real time.</w:t>
            </w:r>
          </w:p>
        </w:tc>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24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Config saved; effect visible within 5 minutes</w:t>
            </w:r>
          </w:p>
        </w:tc>
      </w:tr>
      <w:tr>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US-05</w:t>
            </w:r>
          </w:p>
        </w:tc>
        <w:tc>
          <w:tcPr>
            <w:tcW w:type="dxa" w:w="1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Data Analyst</w:t>
            </w:r>
          </w:p>
        </w:tc>
        <w:tc>
          <w:tcPr>
            <w:tcW w:type="dxa" w:w="4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View a live dashboard showing conversion lift, margin impact, and satisfaction delta by segment vs. control group, so I can make evidence-based optimisations.</w:t>
            </w:r>
          </w:p>
        </w:tc>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1F5EFF"/>
                <w:sz w:val="20"/>
                <w:szCs w:val="20"/>
              </w:rPr>
              <w:t xml:space="preserve">P2</w:t>
            </w:r>
          </w:p>
        </w:tc>
        <w:tc>
          <w:tcPr>
            <w:tcW w:type="dxa" w:w="124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Dashboard refreshes hourly; segment filters functional</w:t>
            </w:r>
          </w:p>
        </w:tc>
      </w:tr>
      <w:tr>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US-06</w:t>
            </w:r>
          </w:p>
        </w:tc>
        <w:tc>
          <w:tcPr>
            <w:tcW w:type="dxa" w:w="18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Finance Lead</w:t>
            </w:r>
          </w:p>
        </w:tc>
        <w:tc>
          <w:tcPr>
            <w:tcW w:type="dxa" w:w="4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Receive a weekly gross margin impact report attributable to the Dynamic Discount Engine, so I can track ROI against the feature investment.</w:t>
            </w:r>
          </w:p>
        </w:tc>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1F5EFF"/>
                <w:sz w:val="20"/>
                <w:szCs w:val="20"/>
              </w:rPr>
              <w:t xml:space="preserve">P2</w:t>
            </w:r>
          </w:p>
        </w:tc>
        <w:tc>
          <w:tcPr>
            <w:tcW w:type="dxa" w:w="124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Weekly automated report; attributed margin delta shown</w:t>
            </w:r>
          </w:p>
        </w:tc>
      </w:tr>
    </w:tbl>
    <w:p>
      <w:r>
        <w:br w:type="page"/>
      </w:r>
    </w:p>
    <w:p>
      <w:pPr>
        <w:pStyle w:val="Heading1"/>
        <w:spacing w:after="180" w:before="360"/>
      </w:pPr>
      <w:r>
        <w:rPr>
          <w:rFonts w:ascii="Arial" w:cs="Arial" w:eastAsia="Arial" w:hAnsi="Arial"/>
          <w:b/>
          <w:bCs/>
          <w:color w:val="0A1F5C"/>
          <w:sz w:val="34"/>
          <w:szCs w:val="34"/>
        </w:rPr>
        <w:t xml:space="preserve">8. Success Metrics and KPIs</w:t>
      </w:r>
    </w:p>
    <w:p>
      <w:pPr>
        <w:pBdr>
          <w:bottom w:val="single" w:color="1F5EFF"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KPI</w:t>
            </w:r>
          </w:p>
        </w:tc>
        <w:tc>
          <w:tcPr>
            <w:tcW w:type="dxa" w:w="24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Baseline (Current)</w:t>
            </w:r>
          </w:p>
        </w:tc>
        <w:tc>
          <w:tcPr>
            <w:tcW w:type="dxa" w:w="228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Target (90 Days)</w:t>
            </w:r>
          </w:p>
        </w:tc>
        <w:tc>
          <w:tcPr>
            <w:tcW w:type="dxa" w:w="228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Measurement Method</w:t>
            </w:r>
          </w:p>
        </w:tc>
      </w:tr>
      <w:tr>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Gross Margin on Discounted Orders</w:t>
            </w:r>
          </w:p>
        </w:tc>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No segment data</w:t>
            </w:r>
          </w:p>
        </w:tc>
        <w:tc>
          <w:tcPr>
            <w:tcW w:type="dxa" w:w="228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bCs/>
                <w:color w:val="007A4D"/>
                <w:sz w:val="20"/>
                <w:szCs w:val="20"/>
              </w:rPr>
              <w:t xml:space="preserve">+8-12% vs static campaign</w:t>
            </w:r>
          </w:p>
        </w:tc>
        <w:tc>
          <w:tcPr>
            <w:tcW w:type="dxa" w:w="228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A/B test margin delta</w:t>
            </w:r>
          </w:p>
        </w:tc>
      </w:tr>
      <w:tr>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Conversion Rate (Very Sensitive)</w:t>
            </w:r>
          </w:p>
        </w:tc>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Baseline from A/B control</w:t>
            </w:r>
          </w:p>
        </w:tc>
        <w:tc>
          <w:tcPr>
            <w:tcW w:type="dxa" w:w="22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bCs/>
                <w:color w:val="007A4D"/>
                <w:sz w:val="20"/>
                <w:szCs w:val="20"/>
              </w:rPr>
              <w:t xml:space="preserve">+15-20% lift</w:t>
            </w:r>
          </w:p>
        </w:tc>
        <w:tc>
          <w:tcPr>
            <w:tcW w:type="dxa" w:w="22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Segment-level checkout funnel</w:t>
            </w:r>
          </w:p>
        </w:tc>
      </w:tr>
      <w:tr>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Customer Satisfaction Score</w:t>
            </w:r>
          </w:p>
        </w:tc>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5.40 avg (dataset)</w:t>
            </w:r>
          </w:p>
        </w:tc>
        <w:tc>
          <w:tcPr>
            <w:tcW w:type="dxa" w:w="228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bCs/>
                <w:color w:val="007A4D"/>
                <w:sz w:val="20"/>
                <w:szCs w:val="20"/>
              </w:rPr>
              <w:t xml:space="preserve">+0.3 points (to 5.7)</w:t>
            </w:r>
          </w:p>
        </w:tc>
        <w:tc>
          <w:tcPr>
            <w:tcW w:type="dxa" w:w="228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Post-purchase survey</w:t>
            </w:r>
          </w:p>
        </w:tc>
      </w:tr>
      <w:tr>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Return Rate</w:t>
            </w:r>
          </w:p>
        </w:tc>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0.954 avg (dataset)</w:t>
            </w:r>
          </w:p>
        </w:tc>
        <w:tc>
          <w:tcPr>
            <w:tcW w:type="dxa" w:w="22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bCs/>
                <w:color w:val="007A4D"/>
                <w:sz w:val="20"/>
                <w:szCs w:val="20"/>
              </w:rPr>
              <w:t xml:space="preserve">Maintain or reduce</w:t>
            </w:r>
          </w:p>
        </w:tc>
        <w:tc>
          <w:tcPr>
            <w:tcW w:type="dxa" w:w="22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Order return tracking</w:t>
            </w:r>
          </w:p>
        </w:tc>
      </w:tr>
      <w:tr>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Discount Waste Rate</w:t>
            </w:r>
          </w:p>
        </w:tc>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Unknown (no segmentation)</w:t>
            </w:r>
          </w:p>
        </w:tc>
        <w:tc>
          <w:tcPr>
            <w:tcW w:type="dxa" w:w="228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bCs/>
                <w:color w:val="007A4D"/>
                <w:sz w:val="20"/>
                <w:szCs w:val="20"/>
              </w:rPr>
              <w:t xml:space="preserve">&lt; 15% of discounts to Not Sensitive</w:t>
            </w:r>
          </w:p>
        </w:tc>
        <w:tc>
          <w:tcPr>
            <w:tcW w:type="dxa" w:w="228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Segment-level discount log</w:t>
            </w:r>
          </w:p>
        </w:tc>
      </w:tr>
      <w:tr>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Average Discount Depth</w:t>
            </w:r>
          </w:p>
        </w:tc>
        <w:tc>
          <w:tcPr>
            <w:tcW w:type="dxa" w:w="24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Fixed (uniform %)</w:t>
            </w:r>
          </w:p>
        </w:tc>
        <w:tc>
          <w:tcPr>
            <w:tcW w:type="dxa" w:w="22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bCs/>
                <w:color w:val="B45309"/>
                <w:sz w:val="20"/>
                <w:szCs w:val="20"/>
              </w:rPr>
              <w:t xml:space="preserve">Reduce by 10% vs static (margin protection)</w:t>
            </w:r>
          </w:p>
        </w:tc>
        <w:tc>
          <w:tcPr>
            <w:tcW w:type="dxa" w:w="228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Order-level discount data</w:t>
            </w:r>
          </w:p>
        </w:tc>
      </w:tr>
      <w:tr>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Engine Uptime</w:t>
            </w:r>
          </w:p>
        </w:tc>
        <w:tc>
          <w:tcPr>
            <w:tcW w:type="dxa" w:w="24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N/A (new feature)</w:t>
            </w:r>
          </w:p>
        </w:tc>
        <w:tc>
          <w:tcPr>
            <w:tcW w:type="dxa" w:w="228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bCs/>
                <w:color w:val="007A4D"/>
                <w:sz w:val="20"/>
                <w:szCs w:val="20"/>
              </w:rPr>
              <w:t xml:space="preserve">99.9%</w:t>
            </w:r>
          </w:p>
        </w:tc>
        <w:tc>
          <w:tcPr>
            <w:tcW w:type="dxa" w:w="228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Infrastructure monitoring</w:t>
            </w:r>
          </w:p>
        </w:tc>
      </w:tr>
    </w:tbl>
    <w:p>
      <w:pPr>
        <w:pStyle w:val="Heading1"/>
        <w:spacing w:after="180" w:before="360"/>
      </w:pPr>
      <w:r>
        <w:rPr>
          <w:rFonts w:ascii="Arial" w:cs="Arial" w:eastAsia="Arial" w:hAnsi="Arial"/>
          <w:b/>
          <w:bCs/>
          <w:color w:val="0A1F5C"/>
          <w:sz w:val="34"/>
          <w:szCs w:val="34"/>
        </w:rPr>
        <w:t xml:space="preserve">9. Assumptions, Dependencies, and Risks</w:t>
      </w:r>
    </w:p>
    <w:p>
      <w:pPr>
        <w:pBdr>
          <w:bottom w:val="single" w:color="1F5EFF" w:sz="6" w:space="1"/>
        </w:pBdr>
        <w:spacing w:after="80" w:before="80"/>
      </w:pPr>
    </w:p>
    <w:p>
      <w:pPr>
        <w:pStyle w:val="Heading2"/>
        <w:spacing w:after="120" w:before="240"/>
      </w:pPr>
      <w:r>
        <w:rPr>
          <w:rFonts w:ascii="Arial" w:cs="Arial" w:eastAsia="Arial" w:hAnsi="Arial"/>
          <w:b/>
          <w:bCs/>
          <w:color w:val="0A1F5C"/>
          <w:sz w:val="28"/>
          <w:szCs w:val="28"/>
        </w:rPr>
        <w:t xml:space="preserve">9.1 Assumptions</w:t>
      </w:r>
    </w:p>
    <w:p>
      <w:pPr>
        <w:pStyle w:val="ListParagraph"/>
        <w:numPr>
          <w:ilvl w:val="0"/>
          <w:numId w:val="2"/>
        </w:numPr>
        <w:spacing w:after="80"/>
      </w:pPr>
      <w:r>
        <w:rPr>
          <w:rFonts w:ascii="Arial" w:cs="Arial" w:eastAsia="Arial" w:hAnsi="Arial"/>
          <w:color w:val="1A1F36"/>
          <w:sz w:val="22"/>
          <w:szCs w:val="22"/>
        </w:rPr>
        <w:t xml:space="preserve">Discount_Sensitivity, Brand_Loyalty, and Purchase_Intent signals are available as computed attributes in the customer data platform (CDP) or CRM at session time.</w:t>
      </w:r>
    </w:p>
    <w:p>
      <w:pPr>
        <w:pStyle w:val="ListParagraph"/>
        <w:numPr>
          <w:ilvl w:val="0"/>
          <w:numId w:val="2"/>
        </w:numPr>
        <w:spacing w:after="80"/>
      </w:pPr>
      <w:r>
        <w:rPr>
          <w:rFonts w:ascii="Arial" w:cs="Arial" w:eastAsia="Arial" w:hAnsi="Arial"/>
          <w:color w:val="1A1F36"/>
          <w:sz w:val="22"/>
          <w:szCs w:val="22"/>
        </w:rPr>
        <w:t xml:space="preserve">The product detail page (PDP) and checkout page can be modified to accept and render a dynamic discount value from an external API without full redesign.</w:t>
      </w:r>
    </w:p>
    <w:p>
      <w:pPr>
        <w:pStyle w:val="ListParagraph"/>
        <w:numPr>
          <w:ilvl w:val="0"/>
          <w:numId w:val="2"/>
        </w:numPr>
        <w:spacing w:after="80"/>
      </w:pPr>
      <w:r>
        <w:rPr>
          <w:rFonts w:ascii="Arial" w:cs="Arial" w:eastAsia="Arial" w:hAnsi="Arial"/>
          <w:color w:val="1A1F36"/>
          <w:sz w:val="22"/>
          <w:szCs w:val="22"/>
        </w:rPr>
        <w:t xml:space="preserve">Customer consent for personalisation has been obtained through the platform onboarding flow in compliance with GDPR/CCPA.</w:t>
      </w:r>
    </w:p>
    <w:p>
      <w:pPr>
        <w:pStyle w:val="ListParagraph"/>
        <w:numPr>
          <w:ilvl w:val="0"/>
          <w:numId w:val="2"/>
        </w:numPr>
        <w:spacing w:after="80"/>
      </w:pPr>
      <w:r>
        <w:rPr>
          <w:rFonts w:ascii="Arial" w:cs="Arial" w:eastAsia="Arial" w:hAnsi="Arial"/>
          <w:color w:val="1A1F36"/>
          <w:sz w:val="22"/>
          <w:szCs w:val="22"/>
        </w:rPr>
        <w:t xml:space="preserve">A/B test infrastructure (e.g., Optimizely, LaunchDarkly, or equivalent) is already available.</w:t>
      </w:r>
    </w:p>
    <w:p>
      <w:pPr>
        <w:pStyle w:val="ListParagraph"/>
        <w:numPr>
          <w:ilvl w:val="0"/>
          <w:numId w:val="2"/>
        </w:numPr>
        <w:spacing w:after="80"/>
      </w:pPr>
      <w:r>
        <w:rPr>
          <w:rFonts w:ascii="Arial" w:cs="Arial" w:eastAsia="Arial" w:hAnsi="Arial"/>
          <w:color w:val="1A1F36"/>
          <w:sz w:val="22"/>
          <w:szCs w:val="22"/>
        </w:rPr>
        <w:t xml:space="preserve">The current static discount system will remain operational in parallel as the fallback.</w:t>
      </w:r>
    </w:p>
    <w:p>
      <w:pPr>
        <w:spacing w:after="80"/>
      </w:pPr>
    </w:p>
    <w:p>
      <w:pPr>
        <w:pStyle w:val="Heading2"/>
        <w:spacing w:after="120" w:before="240"/>
      </w:pPr>
      <w:r>
        <w:rPr>
          <w:rFonts w:ascii="Arial" w:cs="Arial" w:eastAsia="Arial" w:hAnsi="Arial"/>
          <w:b/>
          <w:bCs/>
          <w:color w:val="0A1F5C"/>
          <w:sz w:val="28"/>
          <w:szCs w:val="28"/>
        </w:rPr>
        <w:t xml:space="preserve">9.2 Dependencies</w:t>
      </w:r>
    </w:p>
    <w:p>
      <w:pPr>
        <w:pStyle w:val="ListParagraph"/>
        <w:numPr>
          <w:ilvl w:val="0"/>
          <w:numId w:val="2"/>
        </w:numPr>
        <w:spacing w:after="80"/>
      </w:pPr>
      <w:r>
        <w:rPr>
          <w:rFonts w:ascii="Arial" w:cs="Arial" w:eastAsia="Arial" w:hAnsi="Arial"/>
          <w:color w:val="1A1F36"/>
          <w:sz w:val="22"/>
          <w:szCs w:val="22"/>
        </w:rPr>
        <w:t xml:space="preserve">Data Science Team: delivery of signal scoring models for Discount_Sensitivity classification and Purchase_Intent inference (expected: Sprint 3)</w:t>
      </w:r>
    </w:p>
    <w:p>
      <w:pPr>
        <w:pStyle w:val="ListParagraph"/>
        <w:numPr>
          <w:ilvl w:val="0"/>
          <w:numId w:val="2"/>
        </w:numPr>
        <w:spacing w:after="80"/>
      </w:pPr>
      <w:r>
        <w:rPr>
          <w:rFonts w:ascii="Arial" w:cs="Arial" w:eastAsia="Arial" w:hAnsi="Arial"/>
          <w:color w:val="1A1F36"/>
          <w:sz w:val="22"/>
          <w:szCs w:val="22"/>
        </w:rPr>
        <w:t xml:space="preserve">Backend Engineering: discount computation microservice and API contract (expected: Sprint 4)</w:t>
      </w:r>
    </w:p>
    <w:p>
      <w:pPr>
        <w:pStyle w:val="ListParagraph"/>
        <w:numPr>
          <w:ilvl w:val="0"/>
          <w:numId w:val="2"/>
        </w:numPr>
        <w:spacing w:after="80"/>
      </w:pPr>
      <w:r>
        <w:rPr>
          <w:rFonts w:ascii="Arial" w:cs="Arial" w:eastAsia="Arial" w:hAnsi="Arial"/>
          <w:color w:val="1A1F36"/>
          <w:sz w:val="22"/>
          <w:szCs w:val="22"/>
        </w:rPr>
        <w:t xml:space="preserve">Frontend Engineering: PDP and checkout integration for dynamic discount rendering (expected: Sprint 5)</w:t>
      </w:r>
    </w:p>
    <w:p>
      <w:pPr>
        <w:pStyle w:val="ListParagraph"/>
        <w:numPr>
          <w:ilvl w:val="0"/>
          <w:numId w:val="2"/>
        </w:numPr>
        <w:spacing w:after="80"/>
      </w:pPr>
      <w:r>
        <w:rPr>
          <w:rFonts w:ascii="Arial" w:cs="Arial" w:eastAsia="Arial" w:hAnsi="Arial"/>
          <w:color w:val="1A1F36"/>
          <w:sz w:val="22"/>
          <w:szCs w:val="22"/>
        </w:rPr>
        <w:t xml:space="preserve">BI/Analytics: ThoughtSpot or equivalent dashboard configuration (expected: Sprint 6)</w:t>
      </w:r>
    </w:p>
    <w:p>
      <w:pPr>
        <w:pStyle w:val="ListParagraph"/>
        <w:numPr>
          <w:ilvl w:val="0"/>
          <w:numId w:val="2"/>
        </w:numPr>
        <w:spacing w:after="80"/>
      </w:pPr>
      <w:r>
        <w:rPr>
          <w:rFonts w:ascii="Arial" w:cs="Arial" w:eastAsia="Arial" w:hAnsi="Arial"/>
          <w:color w:val="1A1F36"/>
          <w:sz w:val="22"/>
          <w:szCs w:val="22"/>
        </w:rPr>
        <w:t xml:space="preserve">Legal/Compliance: bias audit framework sign-off before production launch</w:t>
      </w:r>
    </w:p>
    <w:p>
      <w:pPr>
        <w:spacing w:after="80"/>
      </w:pPr>
    </w:p>
    <w:p>
      <w:pPr>
        <w:pStyle w:val="Heading2"/>
        <w:spacing w:after="120" w:before="240"/>
      </w:pPr>
      <w:r>
        <w:rPr>
          <w:rFonts w:ascii="Arial" w:cs="Arial" w:eastAsia="Arial" w:hAnsi="Arial"/>
          <w:b/>
          <w:bCs/>
          <w:color w:val="0A1F5C"/>
          <w:sz w:val="28"/>
          <w:szCs w:val="28"/>
        </w:rPr>
        <w:t xml:space="preserve">9.3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60"/>
        <w:gridCol w:w="960"/>
        <w:gridCol w:w="4840"/>
      </w:tblGrid>
      <w:tr>
        <w:tc>
          <w:tcPr>
            <w:tcW w:type="dxa" w:w="26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Risk</w:t>
            </w:r>
          </w:p>
        </w:tc>
        <w:tc>
          <w:tcPr>
            <w:tcW w:type="dxa" w:w="96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Likelihood</w:t>
            </w:r>
          </w:p>
        </w:tc>
        <w:tc>
          <w:tcPr>
            <w:tcW w:type="dxa" w:w="96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Impact</w:t>
            </w:r>
          </w:p>
        </w:tc>
        <w:tc>
          <w:tcPr>
            <w:tcW w:type="dxa" w:w="484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Mitigation</w:t>
            </w:r>
          </w:p>
        </w:tc>
      </w:tr>
      <w:tr>
        <w:tc>
          <w:tcPr>
            <w:tcW w:type="dxa" w:w="26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Signal data latency causes stale segmentation</w:t>
            </w:r>
          </w:p>
        </w:tc>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Medium</w:t>
            </w:r>
          </w:p>
        </w:tc>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High</w:t>
            </w:r>
          </w:p>
        </w:tc>
        <w:tc>
          <w:tcPr>
            <w:tcW w:type="dxa" w:w="484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Cache last-known segment; refresh on login and new session start</w:t>
            </w:r>
          </w:p>
        </w:tc>
      </w:tr>
      <w:tr>
        <w:tc>
          <w:tcPr>
            <w:tcW w:type="dxa" w:w="26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Perceived price discrimination causes customer backlash</w:t>
            </w:r>
          </w:p>
        </w:tc>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007A4D"/>
                <w:sz w:val="20"/>
                <w:szCs w:val="20"/>
              </w:rPr>
              <w:t xml:space="preserve">Low</w:t>
            </w:r>
          </w:p>
        </w:tc>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High</w:t>
            </w:r>
          </w:p>
        </w:tc>
        <w:tc>
          <w:tcPr>
            <w:tcW w:type="dxa" w:w="484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Restrict signals to behavioural (not demographic); conduct quarterly bias audit; do not surface discount logic to customers</w:t>
            </w:r>
          </w:p>
        </w:tc>
      </w:tr>
      <w:tr>
        <w:tc>
          <w:tcPr>
            <w:tcW w:type="dxa" w:w="26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Discount abuse: customers manipulate signals to trigger higher discounts</w:t>
            </w:r>
          </w:p>
        </w:tc>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Medium</w:t>
            </w:r>
          </w:p>
        </w:tc>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Medium</w:t>
            </w:r>
          </w:p>
        </w:tc>
        <w:tc>
          <w:tcPr>
            <w:tcW w:type="dxa" w:w="484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Rate-limit discount recalculation per session; flag anomalous session patterns for fraud review</w:t>
            </w:r>
          </w:p>
        </w:tc>
      </w:tr>
      <w:tr>
        <w:tc>
          <w:tcPr>
            <w:tcW w:type="dxa" w:w="26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A/B test contamination between treatment and control groups</w:t>
            </w:r>
          </w:p>
        </w:tc>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007A4D"/>
                <w:sz w:val="20"/>
                <w:szCs w:val="20"/>
              </w:rPr>
              <w:t xml:space="preserve">Low</w:t>
            </w:r>
          </w:p>
        </w:tc>
        <w:tc>
          <w:tcPr>
            <w:tcW w:type="dxa" w:w="9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Medium</w:t>
            </w:r>
          </w:p>
        </w:tc>
        <w:tc>
          <w:tcPr>
            <w:tcW w:type="dxa" w:w="484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Use customer-level (not session-level) assignment with persistent cookie and server-side validation</w:t>
            </w:r>
          </w:p>
        </w:tc>
      </w:tr>
      <w:tr>
        <w:tc>
          <w:tcPr>
            <w:tcW w:type="dxa" w:w="26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Margin erosion from model mis-classification</w:t>
            </w:r>
          </w:p>
        </w:tc>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Medium</w:t>
            </w:r>
          </w:p>
        </w:tc>
        <w:tc>
          <w:tcPr>
            <w:tcW w:type="dxa" w:w="9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High</w:t>
            </w:r>
          </w:p>
        </w:tc>
        <w:tc>
          <w:tcPr>
            <w:tcW w:type="dxa" w:w="484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Set hard floor: minimum discount depth = 0%, maximum = 25%; require finance sign-off to exceed bands</w:t>
            </w:r>
          </w:p>
        </w:tc>
      </w:tr>
    </w:tbl>
    <w:p>
      <w:r>
        <w:br w:type="page"/>
      </w:r>
    </w:p>
    <w:p>
      <w:pPr>
        <w:pStyle w:val="Heading1"/>
        <w:spacing w:after="180" w:before="360"/>
      </w:pPr>
      <w:r>
        <w:rPr>
          <w:rFonts w:ascii="Arial" w:cs="Arial" w:eastAsia="Arial" w:hAnsi="Arial"/>
          <w:b/>
          <w:bCs/>
          <w:color w:val="0A1F5C"/>
          <w:sz w:val="34"/>
          <w:szCs w:val="34"/>
        </w:rPr>
        <w:t xml:space="preserve">10. Indicative Delivery Timeline</w:t>
      </w:r>
    </w:p>
    <w:p>
      <w:pPr>
        <w:pBdr>
          <w:bottom w:val="single" w:color="1F5EFF"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4760"/>
        <w:gridCol w:w="800"/>
      </w:tblGrid>
      <w:tr>
        <w:tc>
          <w:tcPr>
            <w:tcW w:type="dxa" w:w="12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Sprint</w:t>
            </w:r>
          </w:p>
        </w:tc>
        <w:tc>
          <w:tcPr>
            <w:tcW w:type="dxa" w:w="26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Phase</w:t>
            </w:r>
          </w:p>
        </w:tc>
        <w:tc>
          <w:tcPr>
            <w:tcW w:type="dxa" w:w="476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Deliverables</w:t>
            </w:r>
          </w:p>
        </w:tc>
        <w:tc>
          <w:tcPr>
            <w:tcW w:type="dxa" w:w="8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Owner</w:t>
            </w:r>
          </w:p>
        </w:tc>
      </w:tr>
      <w:tr>
        <w:tc>
          <w:tcPr>
            <w:tcW w:type="dxa" w:w="12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S1-S2</w:t>
            </w:r>
          </w:p>
        </w:tc>
        <w:tc>
          <w:tcPr>
            <w:tcW w:type="dxa" w:w="26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Discovery &amp; Architecture</w:t>
            </w:r>
          </w:p>
        </w:tc>
        <w:tc>
          <w:tcPr>
            <w:tcW w:type="dxa" w:w="47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Signal data audit; discount engine architecture design; API contract; data model finalised</w:t>
            </w:r>
          </w:p>
        </w:tc>
        <w:tc>
          <w:tcPr>
            <w:tcW w:type="dxa" w:w="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PM + DS</w:t>
            </w:r>
          </w:p>
        </w:tc>
      </w:tr>
      <w:tr>
        <w:tc>
          <w:tcPr>
            <w:tcW w:type="dxa" w:w="12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S3</w:t>
            </w:r>
          </w:p>
        </w:tc>
        <w:tc>
          <w:tcPr>
            <w:tcW w:type="dxa" w:w="26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Signal Modelling</w:t>
            </w:r>
          </w:p>
        </w:tc>
        <w:tc>
          <w:tcPr>
            <w:tcW w:type="dxa" w:w="47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Discount_Sensitivity classifier; Purchase_Intent inference model; Brand_Loyalty score API; model accuracy benchmarks</w:t>
            </w:r>
          </w:p>
        </w:tc>
        <w:tc>
          <w:tcPr>
            <w:tcW w:type="dxa" w:w="8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Data Science</w:t>
            </w:r>
          </w:p>
        </w:tc>
      </w:tr>
      <w:tr>
        <w:tc>
          <w:tcPr>
            <w:tcW w:type="dxa" w:w="12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S4</w:t>
            </w:r>
          </w:p>
        </w:tc>
        <w:tc>
          <w:tcPr>
            <w:tcW w:type="dxa" w:w="26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Backend Engine</w:t>
            </w:r>
          </w:p>
        </w:tc>
        <w:tc>
          <w:tcPr>
            <w:tcW w:type="dxa" w:w="47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Discount computation microservice; segment assignment logic; admin configuration API; audit logging</w:t>
            </w:r>
          </w:p>
        </w:tc>
        <w:tc>
          <w:tcPr>
            <w:tcW w:type="dxa" w:w="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Backend Eng</w:t>
            </w:r>
          </w:p>
        </w:tc>
      </w:tr>
      <w:tr>
        <w:tc>
          <w:tcPr>
            <w:tcW w:type="dxa" w:w="12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S5</w:t>
            </w:r>
          </w:p>
        </w:tc>
        <w:tc>
          <w:tcPr>
            <w:tcW w:type="dxa" w:w="26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Frontend Integration</w:t>
            </w:r>
          </w:p>
        </w:tc>
        <w:tc>
          <w:tcPr>
            <w:tcW w:type="dxa" w:w="47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PDP dynamic discount rendering; checkout integration; fallback logic; A/B test flag integration</w:t>
            </w:r>
          </w:p>
        </w:tc>
        <w:tc>
          <w:tcPr>
            <w:tcW w:type="dxa" w:w="8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Frontend Eng</w:t>
            </w:r>
          </w:p>
        </w:tc>
      </w:tr>
      <w:tr>
        <w:tc>
          <w:tcPr>
            <w:tcW w:type="dxa" w:w="12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S6</w:t>
            </w:r>
          </w:p>
        </w:tc>
        <w:tc>
          <w:tcPr>
            <w:tcW w:type="dxa" w:w="26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Analytics &amp; Dashboard</w:t>
            </w:r>
          </w:p>
        </w:tc>
        <w:tc>
          <w:tcPr>
            <w:tcW w:type="dxa" w:w="47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ThoughtSpot / BI dashboard; KPI tracking; A/B test reporting; segment performance views</w:t>
            </w:r>
          </w:p>
        </w:tc>
        <w:tc>
          <w:tcPr>
            <w:tcW w:type="dxa" w:w="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Analytics</w:t>
            </w:r>
          </w:p>
        </w:tc>
      </w:tr>
      <w:tr>
        <w:tc>
          <w:tcPr>
            <w:tcW w:type="dxa" w:w="12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S7</w:t>
            </w:r>
          </w:p>
        </w:tc>
        <w:tc>
          <w:tcPr>
            <w:tcW w:type="dxa" w:w="26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QA, UAT &amp; Compliance</w:t>
            </w:r>
          </w:p>
        </w:tc>
        <w:tc>
          <w:tcPr>
            <w:tcW w:type="dxa" w:w="476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Full regression testing; UAT with marketing team; bias audit; GDPR review; finance margin-floor sign-off</w:t>
            </w:r>
          </w:p>
        </w:tc>
        <w:tc>
          <w:tcPr>
            <w:tcW w:type="dxa" w:w="8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QA + Legal</w:t>
            </w:r>
          </w:p>
        </w:tc>
      </w:tr>
      <w:tr>
        <w:tc>
          <w:tcPr>
            <w:tcW w:type="dxa" w:w="12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S8</w:t>
            </w:r>
          </w:p>
        </w:tc>
        <w:tc>
          <w:tcPr>
            <w:tcW w:type="dxa" w:w="26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Staged Launch</w:t>
            </w:r>
          </w:p>
        </w:tc>
        <w:tc>
          <w:tcPr>
            <w:tcW w:type="dxa" w:w="476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5% traffic rollout; monitoring; 30-day A/B test; go/no-go decision; full rollout at 100%</w:t>
            </w:r>
          </w:p>
        </w:tc>
        <w:tc>
          <w:tcPr>
            <w:tcW w:type="dxa" w:w="8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All</w:t>
            </w:r>
          </w:p>
        </w:tc>
      </w:tr>
    </w:tbl>
    <w:p>
      <w:pPr>
        <w:pStyle w:val="Heading1"/>
        <w:spacing w:after="180" w:before="360"/>
      </w:pPr>
      <w:r>
        <w:rPr>
          <w:rFonts w:ascii="Arial" w:cs="Arial" w:eastAsia="Arial" w:hAnsi="Arial"/>
          <w:b/>
          <w:bCs/>
          <w:color w:val="0A1F5C"/>
          <w:sz w:val="34"/>
          <w:szCs w:val="34"/>
        </w:rPr>
        <w:t xml:space="preserve">11. Document Approval</w:t>
      </w:r>
    </w:p>
    <w:p>
      <w:pPr>
        <w:pBdr>
          <w:bottom w:val="single" w:color="1F5EFF"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900"/>
        <w:gridCol w:w="1900"/>
        <w:gridCol w:w="0"/>
      </w:tblGrid>
      <w:tr>
        <w:tc>
          <w:tcPr>
            <w:tcW w:type="dxa" w:w="312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Approver</w:t>
            </w:r>
          </w:p>
        </w:tc>
        <w:tc>
          <w:tcPr>
            <w:tcW w:type="dxa" w:w="234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Role</w:t>
            </w:r>
          </w:p>
        </w:tc>
        <w:tc>
          <w:tcPr>
            <w:tcW w:type="dxa" w:w="19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Signature</w:t>
            </w:r>
          </w:p>
        </w:tc>
        <w:tc>
          <w:tcPr>
            <w:tcW w:type="dxa" w:w="1900"/>
            <w:tcBorders>
              <w:top w:val="single" w:color="1F5EFF" w:sz="6"/>
              <w:left w:val="single" w:color="1F5EFF" w:sz="6"/>
              <w:bottom w:val="single" w:color="1F5EFF" w:sz="6"/>
              <w:right w:val="single" w:color="1F5EFF" w:sz="6"/>
            </w:tcBorders>
            <w:shd w:fill="0A1F5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Date</w:t>
            </w:r>
          </w:p>
        </w:tc>
      </w:tr>
      <w:tr>
        <w:tc>
          <w:tcPr>
            <w:tcW w:type="dxa" w:w="312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c>
          <w:tcPr>
            <w:tcW w:type="dxa" w:w="234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VP of Product</w:t>
            </w:r>
          </w:p>
        </w:tc>
        <w:tc>
          <w:tcPr>
            <w:tcW w:type="dxa" w:w="19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c>
          <w:tcPr>
            <w:tcW w:type="dxa" w:w="19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r>
      <w:tr>
        <w:tc>
          <w:tcPr>
            <w:tcW w:type="dxa" w:w="312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c>
          <w:tcPr>
            <w:tcW w:type="dxa" w:w="234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Product Manager</w:t>
            </w:r>
          </w:p>
        </w:tc>
        <w:tc>
          <w:tcPr>
            <w:tcW w:type="dxa" w:w="19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c>
          <w:tcPr>
            <w:tcW w:type="dxa" w:w="19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r>
      <w:tr>
        <w:tc>
          <w:tcPr>
            <w:tcW w:type="dxa" w:w="312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c>
          <w:tcPr>
            <w:tcW w:type="dxa" w:w="234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Head of Data Science</w:t>
            </w:r>
          </w:p>
        </w:tc>
        <w:tc>
          <w:tcPr>
            <w:tcW w:type="dxa" w:w="19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c>
          <w:tcPr>
            <w:tcW w:type="dxa" w:w="19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r>
      <w:tr>
        <w:tc>
          <w:tcPr>
            <w:tcW w:type="dxa" w:w="312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c>
          <w:tcPr>
            <w:tcW w:type="dxa" w:w="234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Finance / Revenue Ops</w:t>
            </w:r>
          </w:p>
        </w:tc>
        <w:tc>
          <w:tcPr>
            <w:tcW w:type="dxa" w:w="19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c>
          <w:tcPr>
            <w:tcW w:type="dxa" w:w="1900"/>
            <w:tcBorders>
              <w:top w:val="single" w:color="D0D5E8" w:sz="4"/>
              <w:left w:val="single" w:color="D0D5E8" w:sz="4"/>
              <w:bottom w:val="single" w:color="D0D5E8" w:sz="4"/>
              <w:right w:val="single" w:color="D0D5E8" w:sz="4"/>
            </w:tcBorders>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r>
      <w:tr>
        <w:tc>
          <w:tcPr>
            <w:tcW w:type="dxa" w:w="312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c>
          <w:tcPr>
            <w:tcW w:type="dxa" w:w="234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Legal / Compliance</w:t>
            </w:r>
          </w:p>
        </w:tc>
        <w:tc>
          <w:tcPr>
            <w:tcW w:type="dxa" w:w="19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c>
          <w:tcPr>
            <w:tcW w:type="dxa" w:w="1900"/>
            <w:tcBorders>
              <w:top w:val="single" w:color="D0D5E8" w:sz="4"/>
              <w:left w:val="single" w:color="D0D5E8" w:sz="4"/>
              <w:bottom w:val="single" w:color="D0D5E8" w:sz="4"/>
              <w:right w:val="single" w:color="D0D5E8" w:sz="4"/>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1A1F36"/>
                <w:sz w:val="20"/>
                <w:szCs w:val="20"/>
              </w:rPr>
              <w:t xml:space="preserve"/>
            </w:r>
          </w:p>
        </w:tc>
      </w:tr>
    </w:tbl>
    <w:p>
      <w:pPr>
        <w:spacing w:after="80"/>
      </w:pPr>
    </w:p>
    <w:p>
      <w:pPr>
        <w:spacing w:after="80"/>
      </w:pPr>
    </w:p>
    <w:p>
      <w:pPr>
        <w:spacing w:after="100"/>
      </w:pPr>
      <w:r>
        <w:rPr>
          <w:rFonts w:ascii="Arial" w:cs="Arial" w:eastAsia="Arial" w:hAnsi="Arial"/>
          <w:b w:val="false"/>
          <w:bCs w:val="false"/>
          <w:color w:val="6B7799"/>
          <w:sz w:val="20"/>
          <w:szCs w:val="20"/>
        </w:rPr>
        <w:t xml:space="preserve">Document ends. For questions or change requests, contact the Product Manager.</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8" w:sz="4" w:space="1"/>
      </w:pBdr>
      <w:spacing w:before="80"/>
    </w:pPr>
    <w:r>
      <w:rPr>
        <w:rFonts w:ascii="Arial" w:cs="Arial" w:eastAsia="Arial" w:hAnsi="Arial"/>
        <w:color w:val="6B7799"/>
        <w:sz w:val="17"/>
        <w:szCs w:val="17"/>
      </w:rPr>
      <w:t xml:space="preserve">Generated by Claude (Anthropic)  |  Confidential  |  Page </w:t>
    </w:r>
    <w:r>
      <w:rPr>
        <w:rFonts w:ascii="Arial" w:cs="Arial" w:eastAsia="Arial" w:hAnsi="Arial"/>
        <w:color w:val="6B7799"/>
        <w:sz w:val="17"/>
        <w:szCs w:val="17"/>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FF" w:sz="6" w:space="1"/>
      </w:pBdr>
      <w:spacing w:after="120"/>
    </w:pPr>
    <w:r>
      <w:rPr>
        <w:rFonts w:ascii="Arial" w:cs="Arial" w:eastAsia="Arial" w:hAnsi="Arial"/>
        <w:b/>
        <w:bCs/>
        <w:color w:val="0A1F5C"/>
        <w:sz w:val="18"/>
        <w:szCs w:val="18"/>
      </w:rPr>
      <w:t xml:space="preserve">Dynamic Discount Engine  |  BRD v1.0</w:t>
    </w:r>
    <w:r>
      <w:rPr>
        <w:rFonts w:ascii="Arial" w:cs="Arial" w:eastAsia="Arial" w:hAnsi="Arial"/>
        <w:color w:val="6B7799"/>
        <w:sz w:val="18"/>
        <w:szCs w:val="18"/>
      </w:rPr>
      <w:t xml:space="preserve">     |     Product Analytics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1F5C"/>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F5EF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B5C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2026-05-06T11:15:48.027Z</dcterms:created>
  <dcterms:modified xsi:type="dcterms:W3CDTF">2026-05-06T11:15:48.027Z</dcterms:modified>
</cp:coreProperties>
</file>

<file path=docProps/custom.xml><?xml version="1.0" encoding="utf-8"?>
<Properties xmlns="http://schemas.openxmlformats.org/officeDocument/2006/custom-properties" xmlns:vt="http://schemas.openxmlformats.org/officeDocument/2006/docPropsVTypes"/>
</file>