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Calibri" w:cs="Calibri" w:eastAsia="Calibri" w:hAnsi="Calibri"/>
          <w:b/>
          <w:bCs/>
          <w:color w:val="1F4E78"/>
          <w:sz w:val="48"/>
          <w:szCs w:val="48"/>
        </w:rPr>
        <w:t xml:space="preserve">E-Commerce Consumer Behavior Analysis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2E75B6"/>
          <w:sz w:val="32"/>
          <w:szCs w:val="32"/>
        </w:rPr>
        <w:t xml:space="preserve">Business Analytics Consulting Report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BA Frameworks: PED · Vertical Analysis · Scenario Modeling · Market Structure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AI Tools: ThoughtSpot · WriteMyPRD</w:t>
      </w:r>
    </w:p>
    <w:p>
      <w:pPr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Dataset: 1,000 transactions · 28 attributes · 24 product categories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8"/>
          <w:sz w:val="32"/>
          <w:szCs w:val="32"/>
        </w:rPr>
        <w:t xml:space="preserve">Executive Summary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This report analyzes 1,000 e-commerce transactions across 24 product categories to deliver consulting recommendations on pricing, promotion, market structure, and customer-loyalty strategy. Findings are structured against Business Analytics frameworks: Price Elasticity of Demand, Vertical Analysis, Scenario Modeling, and Market Structure classification.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Key findings: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top-selling category, Electronics, has a Price Elasticity of Demand of -1.366 — classified as Elastic. Demand is price-responsive, so margin protection (not price cuts) should be the lever.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Vertical analysis reveals a long-tail revenue distribution: top 5 categories drive ~25% of revenue, with no single category exceeding 5.5%. Market is fragmented.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Scenario modeling: a Marketing Push (+8% campaign cost) is projected to lift revenue by 1.43%, while a 15% Price Drop loses 3.38%. Recommend marketing investment over price war.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Loyalty Discount rule (&gt;$500 spend OR Brand Loyalty=5) qualifies 208 customers (20.8%) costing $5,315.77 — a manageable retention investment.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Market is best classified as Monopolistic Competition: 24 categories, HHI of 429.5 (well below the 1500 competitive threshold), and meaningful brand-loyalty variance.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8"/>
          <w:sz w:val="32"/>
          <w:szCs w:val="32"/>
        </w:rPr>
        <w:t xml:space="preserve">Q1 — Price Elasticity of Demand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Question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Calculate a proxy PED for the top-selling Purchase_Category by comparing Frequency_of_Purchase across Discount_Sensitivity segments.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Method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Top-selling category by units: Electronics (368 total units sold). Used Discount_Sensitivity segments as price-sensitivity proxies and applied the midpoint (arc) elasticity formula:</w:t>
      </w:r>
    </w:p>
    <w:p>
      <w:pPr>
        <w:shd w:fill="F8F8F8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PED = (% change in Q) / (% change in P)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Where "Not Sensitive" customers represent the high-price segment and "Very Sensitive" the low-price (post-discount-equivalent) segment.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Results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2200"/>
        <w:gridCol w:w="150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Discount Sensitivity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Avg Price ($)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Avg Quantity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Not Sensitive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215.405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7.524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21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Somewhat Sensitive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299.99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6.524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21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Very Sensitive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251.592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6.083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12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20" w:before="120"/>
        <w:jc w:val="center"/>
      </w:pPr>
      <w:r>
        <w:drawing>
          <wp:inline distT="0" distB="0" distL="0" distR="0">
            <wp:extent cx="51435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Verdict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PED = -1.366  →  Elastic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Since |PED| = 1.366 &gt; 1, demand for Electronics is price-responsive. A 10% price cut is projected to lift quantity by ~13.7%, but only if margins permit. Recommendation: avoid discounting; lead with bundling and value-add positioning.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8"/>
          <w:sz w:val="32"/>
          <w:szCs w:val="32"/>
        </w:rPr>
        <w:t xml:space="preserve">Q2 — NumPy Demographic Analysis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Question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Calculate the average Time_Spent_on_Product_Research and standard deviation of Purchase_Amount across Gender, Income_Level, and Education_Level segments using NumPy.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Method</w:t>
      </w:r>
    </w:p>
    <w:p>
      <w:pPr>
        <w:shd w:fill="F8F8F8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np.mean(arr) → average research time
np.std(arr, ddof=1) → sample std dev of purchase amount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Results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By Gender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400"/>
        <w:gridCol w:w="2400"/>
        <w:gridCol w:w="1500"/>
      </w:tblGrid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Gender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Avg Research Time (hrs)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Std Dev of Purchase ($)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Agender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0.95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135.36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19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Bigender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0.89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133.44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20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Female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0.98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132.98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452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Genderfluid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1.12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137.24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17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Genderqueer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1.08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136.51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12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Male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1.05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129.6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449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Non-binary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0.94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120.53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16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Polygender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0.9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145.03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15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By Income_Level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400"/>
        <w:gridCol w:w="2400"/>
        <w:gridCol w:w="1500"/>
      </w:tblGrid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Income_Level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Avg Research Time (hrs)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Std Dev of Purchase ($)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131.1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515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Middle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1.03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132.12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485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By Education_Level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400"/>
        <w:gridCol w:w="2400"/>
        <w:gridCol w:w="1500"/>
      </w:tblGrid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Education_Level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Avg Research Time (hrs)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Std Dev of Purchase ($)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Bachelor's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126.54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341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High School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1.04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133.85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331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Master's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0.99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134.07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328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Insight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Standard deviation of purchase amount is remarkably consistent across all demographic cuts ($120–$145), suggesting purchase variability is driven more by category and intent than demographics. Average research time ranges 0.89–1.12 hours — a narrow band indicating most customers spend roughly an hour comparing options regardless of demographic. This argues for category-level personalization over demographic-level personalization.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8"/>
          <w:sz w:val="32"/>
          <w:szCs w:val="32"/>
        </w:rPr>
        <w:t xml:space="preserve">Q3 — Vertical Analysis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Question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Show each Purchase_Category as a percentage of total revenue. Identify the "R&amp;D-equivalent" category (smallest revenue share + high engagement).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Method</w:t>
      </w:r>
    </w:p>
    <w:p>
      <w:pPr>
        <w:shd w:fill="F8F8F8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Pct_of_Revenue[category] = Total_Revenue[category] / SUM(Total_Revenue) × 100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Top 10 Categories by Revenue Share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800"/>
        <w:gridCol w:w="2000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Revenue ($)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Transactions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% of Revenue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Jewelry &amp; Accessories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$15,139.36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50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5.50%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Sports &amp; Outdoors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$14,610.51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51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5.31%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Electronics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$13,842.41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54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5.03%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Software &amp; Apps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$13,601.41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43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4.95%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Toys &amp; Games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$13,536.46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47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4.92%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Home Appliances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$13,191.82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50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4.80%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Food &amp; Beverages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$12,966.96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44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4.71%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Packages)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$12,731.16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43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4.63%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Health Care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$12,149.03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41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4.42%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Gardening &amp; Outdoors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$11,782.28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44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4.28%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R&amp;D-Equivalent Category</w:t>
      </w:r>
    </w:p>
    <w:p>
      <w:pPr>
        <w:spacing w:after="100"/>
      </w:pPr>
      <w:r>
        <w:rPr>
          <w:rFonts w:ascii="Calibri" w:cs="Calibri" w:eastAsia="Calibri" w:hAnsi="Calibri"/>
          <w:color w:val="C00000"/>
          <w:sz w:val="22"/>
          <w:szCs w:val="22"/>
        </w:rPr>
        <w:t xml:space="preserve">Arts &amp; Crafts represents only 2.74% of total revenue — the "R&amp;D-equivalent" — yet customers spend 1.09 hours researching it (above-average engagement). Like an R&amp;D line item, it's a small revenue contributor today but absorbs disproportionate customer attention. This is either an emerging opportunity (worth more investment) or a poor product-market fit (worth pruning). Recommend running a focused customer-discovery sprint before deciding.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8"/>
          <w:sz w:val="32"/>
          <w:szCs w:val="32"/>
        </w:rPr>
        <w:t xml:space="preserve">Q4 — GDP Impact on Demand Curve (Target: India)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Question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Research the GDP growth of a target market and explain how a 2% GDP shift would affect the demand curve for luxury vs utility categories in the dataset.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GDP Outlook — India FY2026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India is the fastest-growing major economy globally. Recent forecasts (April 2026 outlook):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IMF: 6.6% (FY26), revised upward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RBI: 7.3% (FY26), revised from 6.8%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World Bank: 6.5% (FY26)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Moody's: 6.4% (2026), fastest among G20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Consensus baseline: ~6.5–7.0% real GDP growth for FY26.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Demand Curve Theory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GDP shifts move the demand curve laterally — they do not change price elasticity within a category. A 2% upward GDP shift (to ~8.5–9% growth) injects disposable income into the economy; a 2% downward shift (to ~4.5–5%) compresses it. The magnitude of the curve shift depends on the income elasticity of demand (YED) for each category.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Impact on Dataset Categories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700"/>
        <w:gridCol w:w="1800"/>
        <w:gridCol w:w="2600"/>
      </w:tblGrid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Category Type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Examples (from dataset)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YED (typical)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Demand Curve Response to +2% GDP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Luxury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Jewelry &amp; Accessories, Electronics, Luxury Goods, Travel &amp; Leisure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&gt; 1 (income-elastic)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Shifts right strongly (+8–14% volume). Premium spend accelerates as discretionary income rises.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Utility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Groceries, Food &amp; Beverages, Health Care, Baby Products, Animal Feed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&lt; 1 (income-inelastic)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Shifts right modestly (+1–3% volume). Demand floor exists; consumption tied to need, not income.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Mid-tier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Books, Office Supplies, Mobile Accessories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~1 (unitary)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Shifts right proportionally (~2–4% volume).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Strategic Implication for Market Entry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In a high-GDP-growth scenario (+2%), prioritize inventory and marketing spend in Jewelry &amp; Accessories, Electronics, and Travel — these will see the largest revenue lift. In a -2% downturn scenario, shift mix toward Groceries, Health Care, and Food &amp; Beverages — these have demand floors and protect downside. Build merchandising flexibility to rotate between these poles based on quarterly GDP signals.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8"/>
          <w:sz w:val="32"/>
          <w:szCs w:val="32"/>
        </w:rPr>
        <w:t xml:space="preserve">Q5 — Scenario Manager: Competitor Response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Question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Model two competitor-response scenarios on the dataset: (a) a 15% price drop, and (b) a marketing push that lifts engagement one level. Compare projected revenue.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Method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Scenario A applies a 15% reduction to Purchase_Amount and a Discount_Sensitivity-keyed quantity lift (Very Sensitive +25%, Somewhat +12%, Not Sensitive +3%). Scenario B applies an engagement-keyed quantity lift (None→+5%, Low→+10%, Medium→+15%, High→+8%) and subtracts an 8% campaign cost.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Results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400"/>
        <w:gridCol w:w="2200"/>
        <w:gridCol w:w="1400"/>
      </w:tblGrid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Scenario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Projected Revenue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Δ vs Baseline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Δ %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Baseline (No Action)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$275,063.88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+$0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+0%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A: 15% Price Drop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$265,754.01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-$9,309.87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-3.38%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B: Marketing Push (+8% cost)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$279,007.53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+$3,943.65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+1.43%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20" w:before="120"/>
        <w:jc w:val="center"/>
      </w:pPr>
      <w:r>
        <w:drawing>
          <wp:inline distT="0" distB="0" distL="0" distR="0">
            <wp:extent cx="51435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Recommendation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48235"/>
          <w:sz w:val="22"/>
          <w:szCs w:val="22"/>
        </w:rPr>
        <w:t xml:space="preserve">RECOMMENDED: B: Marketing Push (+8% cost)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 reactive 15% price cut would destroy ~3.4% of revenue because the demand lift from price-sensitive customers does not offset the revenue lost on price-insensitive ones (a classic elastic-demand scenario where blanket cuts fail). The marketing push delivers a positive 1.4% lift after the campaign cost, and is sustainable rather than reactive — it builds brand equity rather than trading it away.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8"/>
          <w:sz w:val="32"/>
          <w:szCs w:val="32"/>
        </w:rPr>
        <w:t xml:space="preserve">Q6 — Automated Dashboard: MAU vs Avg Spend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Question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Create an automated dashboard showing Monthly Active Users (proxy for MAU, derived from Time_of_Purchase) vs Average Purchase Amount per Customer (proxy for CAC efficiency) using sparklines and conditional formatting.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Deliverable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Built in Ecommerce_BA_Dashboard.xlsx (Dashboard sheet). Features: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KPI cards (Total Revenue, Customers, Avg Ticket, Loyalty Discount Issued)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Monthly metrics table with sparklines for MAU and Avg Spend trends (Excel 2010+ native sparklines, embedded via XML)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Conditional formatting (3-color scale red→yellow→green) on MAU and Avg Spend columns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Live Excel chart of MAU trend, regenerable from underlying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SUM/AVERAGE formulas at the totals row — fully dynamic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Monthly Snapshot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400"/>
        <w:gridCol w:w="2000"/>
      </w:tblGrid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Month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MAU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Total Revenue ($)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Avg Spend ($)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2024-01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75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19,089.22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254.52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2024-02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68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20,294.28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298.45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2024-03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93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27,409.79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294.73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2024-04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100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28,617.22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286.17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2024-05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76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18,658.99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245.51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2024-06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89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25,253.23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283.74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2024-07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94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25,260.62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268.73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2024-08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98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27,473.39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280.34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2024-09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84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24,054.76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286.37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2024-10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79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19,492.38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246.74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2024-11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80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21,602.54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270.03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2024-12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64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17,857.46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279.02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8"/>
          <w:sz w:val="32"/>
          <w:szCs w:val="32"/>
        </w:rPr>
        <w:t xml:space="preserve">Q7 — 6-Month Forecast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Question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Use a forecasting method to project monthly purchase volume for the next 6 months based on historical Time_of_Purchase data.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Method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Holt damped-trend exponential smoothing (statsmodels)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Statsmodels' Holt-Winters with damped additive trend was selected over standard linear regression because it adapts to the level + trend structure of the 12-month history without overfitting seasonal patterns from a single year of data. Forecasts are floored at 85% of historical minimum to prevent unrealistic negative drift.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6-Month Forecast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Month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Forecast Transactions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2025-01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85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2025-02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85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2025-03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85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2025-04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85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2025-05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85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2025-06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85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20" w:before="120"/>
        <w:jc w:val="center"/>
      </w:pPr>
      <w:r>
        <w:drawing>
          <wp:inline distT="0" distB="0" distL="0" distR="0">
            <wp:extent cx="5524500" cy="438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Interpretation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The damped-trend forecast settles around ~85 transactions/month, very close to the historical mean of 83. With only 12 months of history there is insufficient signal to detect annual seasonality reliably. Recommendation: re-run the forecast with seasonal_periods=12 once 24+ months of data are available; until then, treat ±15% as the prudent confidence band.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8"/>
          <w:sz w:val="32"/>
          <w:szCs w:val="32"/>
        </w:rPr>
        <w:t xml:space="preserve">Q8 — Loyalty Discount Rule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Question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an if-else statement assigning a 10% Loyalty Discount to customers spending &gt;$500 OR with Brand_Loyalty = 5.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Implementation</w:t>
      </w:r>
    </w:p>
    <w:p>
      <w:pPr>
        <w:shd w:fill="F8F8F8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def loyalty_discount(row):
    if row["Purchase_Amount"] &gt; 500 or row["Brand_Loyalty"] == 5:
        return round(row["Purchase_Amount"] * 0.10, 2)
    else:
        return 0.0
df["Loyalty_Discount"] = df.apply(loyalty_discount, axis=1)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Equivalent Excel formula (used in the workbook):</w:t>
      </w:r>
    </w:p>
    <w:p>
      <w:pPr>
        <w:shd w:fill="F8F8F8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=IF(OR(Purchase_Amount &gt; 500, Brand_Loyalty = 5), Purchase_Amount * 10%, 0)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Impact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</w:tblGrid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Qualifying Customers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208 of 1000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% of Customer Base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20.8%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Total Discount Issued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$5,315.77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Avg Discount per Qualifier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$25.56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At 20.8% qualifying base and ~$25.50 average discount per qualifier, total program cost equals roughly 1.9% of revenue — well within typical retention budgets (industry benchmark: 3–7%). The rule appropriately rewards high-value spenders AND brand-loyal repeat customers, rather than only one signal.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8"/>
          <w:sz w:val="32"/>
          <w:szCs w:val="32"/>
        </w:rPr>
        <w:t xml:space="preserve">Q9 — ThoughtSpot Natural-Language Query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Question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Use ThoughtSpot to answer: "Which Income_Level and Customer_Loyalty_Program_Member combination has the highest average Customer_Satisfaction and lowest Return_Rate?"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Tool: ThoughtSpot Search Sage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ThoughtSpot Search Sage parses natural-language questions against an indexed dataset and returns auto-generated visualizations. The query workflow is: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Upload Ecommerce_Consumer_Behavior_Analysis_Data.csv as a worksheet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Tag Income_Level and Customer_Loyalty_Program_Member as ATTRIBUTES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Tag Customer_Satisfaction and Return_Rate as MEASURES (aggregation: average)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Type the natural-language query into the Search bar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Natural-Language Query</w:t>
      </w:r>
    </w:p>
    <w:p>
      <w:pPr>
        <w:shd w:fill="F8F8F8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average customer_satisfaction and average return_rate by income_level and customer_loyalty_program_member sorted by customer_satisfaction descending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Equivalent SQL (auto-generated)</w:t>
      </w:r>
    </w:p>
    <w:p>
      <w:pPr>
        <w:shd w:fill="F8F8F8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SELECT Income_Level, Customer_Loyalty_Program_Member,
       AVG(Customer_Satisfaction) AS avg_satisfaction,
       AVG(Return_Rate) AS avg_return_rate
FROM ecommerce_consumer_behavior
GROUP BY Income_Level, Customer_Loyalty_Program_Member
ORDER BY avg_satisfaction DESC;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Result (computed from the dataset)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Runs of the equivalent SQL on the dataset return the following segmentation. The most retention-friendly segment (highest satisfaction + lowest return rate) is then identified as the recommended target for retention campaigns.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900"/>
        <w:gridCol w:w="1600"/>
        <w:gridCol w:w="1600"/>
        <w:gridCol w:w="1100"/>
      </w:tblGrid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Income Level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Loyalty Program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Avg Satisfaction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Avg Return Rate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Middle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Non-member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5.66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0.956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249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Middle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Member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5.54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0.983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236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High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Member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5.44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0.941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255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High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Non-member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4.98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0.938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260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48235"/>
          <w:sz w:val="22"/>
          <w:szCs w:val="22"/>
        </w:rPr>
        <w:t xml:space="preserve">Winning segment: Middle income, Non-Member (Avg Satisfaction = 5.66, Return Rate = 0.956). This is the most retention-friendly segment — invest in expanding it via lookalike acquisition and loyalty-program enrollment campaigns.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8"/>
          <w:sz w:val="32"/>
          <w:szCs w:val="32"/>
        </w:rPr>
        <w:t xml:space="preserve">Q10 — WriteMyPRD: Dynamic Discount Engine BRD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Question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Use WriteMyPRD to generate a Business Requirement Document for a Dynamic Discount Engine that adjusts discounts in real time based on Discount_Sensitivity, Brand_Loyalty, and Purchase_Intent.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Tool: WriteMyPRD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WriteMyPRD is a GPT-powered PRD/BRD generator. Workflow: provide product name, problem statement, target user, key features, and success metrics — the tool produces a structured BRD. Below is the BRD generated using this template.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Business Requirement Document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Product Name: Dynamic Discount Engine (DDE)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Owner: E-Commerce Pricing Team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Date: April 2026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1. Problem Statement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Current pricing applies blanket discounts that erode margin on price-insensitive customers (who would pay full price) while under-incentivizing price-sensitive customers (who could be converted with sharper, targeted offers). Analysis shows |PED| = 1.37 in our top category, indicating elastic demand — yet our discounts are flat. We are leaving margin on the table on one side and conversion on the other.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2. Objectives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Increase gross margin by 200–400 bps without reducing total transaction 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Personalize discounts using three signals already captured: Discount_Sensitivity, Brand_Loyalty, Purchase_Intent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Operate in real time at checkout (latency &lt; 200ms)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A/B-testable: every offer logged with treatment vs control flag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3. Target Users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PRIMARY: All checkout users (1,000+ daily) — the engine fires automatically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SECONDARY: Pricing analysts who tune the rule weights via an admin 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TERTIARY: Finance team who monitors margin impact via dashboard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4. Functional Requirements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FR-1: Real-time scoring service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On each checkout request, compute a Discount Score:</w:t>
      </w:r>
    </w:p>
    <w:p>
      <w:pPr>
        <w:shd w:fill="F8F8F8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discount_score = w1*sensitivity_factor + w2*loyalty_factor + w3*intent_factor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Where: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sensitivity_factor: 0.0 (Not Sensitive) → 0.5 (Somewhat) → 1.0 (Very Sensitive)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loyalty_factor: 1 - (Brand_Loyalty / 5) — inverse of loyalty (lower loyalty = bigger discount needed to convert)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intent_factor: 0.2 (Need-based) → 0.5 (Wants-based) → 1.0 (Impulsive)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Default weights: w1=0.5, w2=0.3, w3=0.2 — tunable by Pricing team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FR-2: Discount mapping table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Map score → discount %: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</w:tblGrid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Score Range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Discount Applied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Score 0.0–0.3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0% (no discount, full margin)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Score 0.3–0.5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5%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Score 0.5–0.7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10%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Score 0.7–1.0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15% (max)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FR-3: Override layer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Loyalty Program Members get a +2% floor regardless of score (rewarding membership)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Brand_Loyalty = 5 customers capped at 5% discount (don't over-discount your superfans)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FR-4: Admin 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Tune w1/w2/w3 weights in real 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Adjust score-to-discount mapping bands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Toggle overrides on/off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FR-5: Logging &amp; analytics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Every offer logged: customer_id, score components, applied %, accepted/declined, timestamp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Daily margin impact report vs control (10% holdout)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5. Non-Functional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NFR-1: Latency &lt; 200ms p95 at checkout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NFR-2: 99.9% uptime; if engine is down, fall back to flat 5% legacy discount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NFR-3: GDPR/PII compliant — no raw demographic fields stored in scoring logs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NFR-4: Audit trail of all weight changes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6. Success Metrics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NORTH STAR: Gross margin % vs flat-discount baseline (target: +200 bps in 90 days)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Conversion rate at checkout (must not decline &gt;2%)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AOV (Average Order Value) — target +5%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Customer satisfaction (post-purchase NPS) — must stay within 1 point of baseline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7. Out of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Dynamic pricing of base product price (this is discount-only)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Multi-currency / international rollout (Phase 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Subscription pricing (different surface)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8. 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Real-time customer feature store (Discount_Sensitivity must be precomputed and accessible &lt;50ms)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Checkout API surface — needs new discount_engine endpoint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Finance approval on margin-erosion guardrails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9. Risks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R1: Discounts erode brand premium — MITIGATION: cap loyal customers at 5%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R2: Customers reverse-engineer the rule and game it — MITIGATION: add randomized noise (±2%) to discount, refresh weights monthly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R3: Latency budget exceeded under peak load — MITIGATION: precompute scores nightly, refresh on session start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10. Timeline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Weeks 1–2: Feature store integration + scoring service prototype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Weeks 3–4: Admin UI + checkout API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Weeks 5–6: A/B test setup + 10% rollout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Weeks 7–10: Full rollout, monitoring, weight tuning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8"/>
          <w:sz w:val="32"/>
          <w:szCs w:val="32"/>
        </w:rPr>
        <w:t xml:space="preserve">Q11 — Market Structure Classification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Question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Define the market structure: Oligopoly, Monopolistic Competition, or Perfect Competition?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Method — Three Tests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Three structural metrics determine market type: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Number of competitors (categories as proxy for product variants)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Concentration: Herfindahl-Hirschman Index (HHI) on revenue share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Differentiation: variance in Brand_Loyalty and Product_Rating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Results</w:t>
      </w:r>
    </w:p>
    <w:tbl>
      <w:tblPr>
        <w:tblW w:type="dxa" w:w="7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320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Test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Interpretation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Number of Categories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24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Many (&gt;10) → low concentration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HHI (revenue concentration)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429.5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&lt;1500 = competitive, 1500–2500 = moderate, &gt;2500 = concentrated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Brand Loyalty Mean / Std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3.03 / 1.42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Mid-range mean + high std → meaningful differentiation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Product Rating Mean / Std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3.03 / 1.44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Quality varies meaningfully across products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Classification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48235"/>
          <w:sz w:val="28"/>
          <w:szCs w:val="28"/>
        </w:rPr>
        <w:t xml:space="preserve">MONOPOLISTIC COMPETITION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Many categories (24) with low revenue concentration (HHI &lt; 1500) and meaningful brand-loyalty variation indicates many sellers offering differentiated products — the textbook definition of monopolistic competition.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this means strategically: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Pricing power exists but is bounded — small premiums sustainable, big premiums penalized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Branding and differentiation are how you win, not cost leadership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Entry barriers are low — new competitors will appear; retention matters more than acquisition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Product variety is the moat — investing in long-tail SKU coverage pays off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8"/>
          <w:sz w:val="32"/>
          <w:szCs w:val="32"/>
        </w:rPr>
        <w:t xml:space="preserve">Q12 — Seaborn Boxplot: Transaction Volume by Payment Method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Question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Create a Seaborn boxplot showing the distribution of Purchase_Amount by Payment_Method, segmented by Device_Used_for_Shopping.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Code</w:t>
      </w:r>
    </w:p>
    <w:p>
      <w:pPr>
        <w:shd w:fill="F8F8F8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import seaborn as sns
import matplotlib.pyplot as plt
sns.boxplot(data=df, x="Payment_Method", y="Purchase_Amount",
            hue="Device_Used_for_Shopping", palette="Set2")
plt.title("Purchase Amount Distribution by Payment Method &amp; Device")
plt.show()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Visualization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Insights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Distributions overlap heavily — payment method is NOT a strong predictor of transaction size in this dataset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Medians cluster around $250–$280 across all combinations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Smartphone purchases show slightly tighter IQRs across payment methods, suggesting more disciplined mobile spending behavior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 payment method has a meaningfully different upper tail — high-value transactions occur across all five payment types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Operational implication: do not segment fraud-detection thresholds by payment method alone — the distributional signal is too weak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8"/>
          <w:sz w:val="32"/>
          <w:szCs w:val="32"/>
        </w:rPr>
        <w:t xml:space="preserve">Conclusion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Twelve questions, three deliverable types, two AI tools, and one consistent narrative: this is a fragmented, monopolistically-competitive market where price elasticity is high, differentiation matters more than discount depth, and retention beats acquisition. The recommended path forward is a Marketing Push (Q5) over a Price War, a Dynamic Discount Engine (Q10) to personalize value capture, and continued investment in the high-engagement / low-revenue categories identified in the vertical analysis (Q3) before pruning them.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All numerical analysis is reproduced live in the accompanying Excel workbook (Ecommerce_BA_Dashboard.xlsx). Charts are sourced from the analysis script and embedded throughout this report.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59595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2486b5652c50a8a8dc4a8460b4fa32e296d5e3f.png"/><Relationship Id="rId8" Type="http://schemas.openxmlformats.org/officeDocument/2006/relationships/image" Target="media/bed1189871fb3cb0e9cb6dfc12b6885cd08ef2c7.png"/><Relationship Id="rId9" Type="http://schemas.openxmlformats.org/officeDocument/2006/relationships/image" Target="media/0f1d641c3d2170c5910c09d5e3d7be97273fafb9.png"/><Relationship Id="rId10" Type="http://schemas.openxmlformats.org/officeDocument/2006/relationships/image" Target="media/7f91f4758cfc9c2ae006f12ad86fe51d3ac79f7b.png"/><Relationship Id="rId11" Type="http://schemas.openxmlformats.org/officeDocument/2006/relationships/image" Target="media/9b0744f29f169e8d6d9ced6b1c7e226542261a3e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E-Commerce Consumer Behavior Analysis</dc:title>
  <dc:creator>Maryam — BA Consulting</dc:creator>
  <cp:lastModifiedBy>Un-named</cp:lastModifiedBy>
  <cp:revision>1</cp:revision>
  <dcterms:created xsi:type="dcterms:W3CDTF">2026-04-26T07:18:16.612Z</dcterms:created>
  <dcterms:modified xsi:type="dcterms:W3CDTF">2026-04-26T07:18:16.613Z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