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Retail Profit Variance Analysis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Track 1 — Analyst Assignment</w:t>
      </w:r>
    </w:p>
    <w:p>
      <w:pPr>
        <w:spacing w:after="1200"/>
        <w:jc w:val="center"/>
      </w:pPr>
      <w:r>
        <w:rPr>
          <w:i/>
          <w:iCs/>
          <w:color w:val="777777"/>
          <w:sz w:val="22"/>
          <w:szCs w:val="22"/>
        </w:rPr>
        <w:t xml:space="preserve">Statistical Process Control, 3NF Normalization, and Hypothesis Testing</w:t>
      </w:r>
    </w:p>
    <w:p>
      <w:pPr>
        <w:spacing w:after="100"/>
        <w:jc w:val="center"/>
      </w:pPr>
      <w:r>
        <w:rPr>
          <w:sz w:val="22"/>
          <w:szCs w:val="22"/>
        </w:rPr>
        <w:t xml:space="preserve">Author: Maryam</w:t>
      </w:r>
    </w:p>
    <w:p>
      <w:pPr>
        <w:spacing w:after="100"/>
        <w:jc w:val="center"/>
      </w:pPr>
      <w:r>
        <w:rPr>
          <w:sz w:val="22"/>
          <w:szCs w:val="22"/>
        </w:rPr>
        <w:t xml:space="preserve">Organization: Meritshot EdTech</w:t>
      </w:r>
    </w:p>
    <w:p>
      <w:pPr>
        <w:spacing w:after="100"/>
        <w:jc w:val="center"/>
      </w:pPr>
      <w:r>
        <w:rPr>
          <w:sz w:val="22"/>
          <w:szCs w:val="22"/>
        </w:rPr>
        <w:t xml:space="preserve">Dataset: synthetic_sales_data_400k.csv  (400,000 rows × 14 columns)</w:t>
      </w:r>
    </w:p>
    <w:p>
      <w:pPr>
        <w:spacing w:after="0"/>
        <w:jc w:val="center"/>
      </w:pPr>
      <w:r>
        <w:br w:type="page"/>
      </w:r>
    </w:p>
    <w:p>
      <w:pPr>
        <w:pStyle w:val="Heading1"/>
        <w:spacing w:after="200" w:before="360"/>
      </w:pPr>
      <w:r>
        <w:t xml:space="preserve">Executive Summary</w:t>
      </w:r>
    </w:p>
    <w:p>
      <w:pPr>
        <w:spacing w:after="120"/>
      </w:pPr>
      <w:r>
        <w:t xml:space="preserve">This report addresses the retail chain's reported inconsistency in regional profit margins. Using a 400,000-row synthetic transaction dataset, the analysis combines database normalization, descriptive statistics, hypothesis testing, and the Central Limit Theorem to determine whether the variation is a symptom of operational failure or expected statistical noise.</w:t>
      </w:r>
    </w:p>
    <w:p>
      <w:pPr>
        <w:spacing w:after="120"/>
      </w:pPr>
      <w:r>
        <w:t xml:space="preserve">Headline findings: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Profit margin differences between the four regions are NOT statistically significant (Welch's t-test North vs South: p = 0.38; ANOVA across all regions: p = 0.76). The chain's headline regional inconsistency is sampling noise, not operational failure.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Profit is moderately right-skewed (skew = +0.77). A small set of premium SKUs is pulling the mean above the median — concentration risk worth flagging to leadership.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Profit per category is remarkably uniform (~₹1.64 B per category, within 0.5% of each other), confirming the dataset is balanced by design.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Anomaly detection should therefore focus on transaction-level outliers (Q4 control chart) and finer slices (region × category × month), not on headline regional averages.</w:t>
      </w:r>
    </w:p>
    <w:p>
      <w:pPr>
        <w:pStyle w:val="Heading2"/>
        <w:spacing w:after="140" w:before="240"/>
      </w:pPr>
      <w:r>
        <w:t xml:space="preserve">Scope of this document</w:t>
      </w:r>
    </w:p>
    <w:p>
      <w:pPr>
        <w:spacing w:after="120"/>
      </w:pPr>
      <w:r>
        <w:t xml:space="preserve">This writeup covers the seven analytical and database questions: Q1, Q2, Q3, Q5, Q7, Q8, and Q12. The five tool-based questions (Q4 Power BI control chart, Q6 SQL→Power BI live connection, Q9 PolymerSearch, Q10 Kissflow workflow, Q11 Power BI cross-filter dashboard) are out of scope for this submission and would be delivered as separate Power BI / workflow artefacts.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Q1 — Designing a 3NF Entity Relationship Diagram</w:t>
      </w:r>
    </w:p>
    <w:p>
      <w:pPr>
        <w:pStyle w:val="Heading2"/>
        <w:spacing w:after="140" w:before="240"/>
      </w:pPr>
      <w:r>
        <w:t xml:space="preserve">Why the flat file is not in 3NF</w:t>
      </w:r>
    </w:p>
    <w:p>
      <w:pPr>
        <w:spacing w:after="120"/>
      </w:pPr>
      <w:r>
        <w:t xml:space="preserve">The source CSV violates all three normal forms in the following specific ways: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1NF violation: the column Region_and_Sales_Rep stores composite values like "East-David" — a non-atomic attribute that combines two independent facts.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2NF violation: Product_Category, Unit_Cost, and Unit_Price depend only on Product_ID, but they are stored on every one of the 400,000 transaction rows. This is a partial dependency on a non-key column.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3NF violation: Sales_Rep determines Region (each rep belongs to exactly one region). Storing Region directly on the transaction is a transitive dependency: Sale → Sales_Rep → Region.</w:t>
      </w:r>
    </w:p>
    <w:p>
      <w:pPr>
        <w:pStyle w:val="Heading2"/>
        <w:spacing w:after="140" w:before="240"/>
      </w:pPr>
      <w:r>
        <w:t xml:space="preserve">Proposed 3NF schema</w:t>
      </w:r>
    </w:p>
    <w:p>
      <w:pPr>
        <w:spacing w:after="120"/>
      </w:pPr>
      <w:r>
        <w:t xml:space="preserve">The flat file is decomposed into five tables — four dimensions (Products, Sales_Reps, Regions, Customers) and one fact table (Sales). Each non-key attribute now depends only on the primary key of its own table.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 — 3NF ERD with primary keys (gold), foreign keys (italic blue), and 1-to-many relationships.</w:t>
      </w:r>
    </w:p>
    <w:p>
      <w:pPr>
        <w:pStyle w:val="Heading2"/>
        <w:spacing w:after="140" w:before="240"/>
      </w:pPr>
      <w:r>
        <w:t xml:space="preserve">Why this design supports real-time reporting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Updating a product's price now affects exactly one row in PRODUCTS instead of every historical transaction.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Adding a new sales rep is a single INSERT into SALES_REPS — no risk of inconsistent region spelling.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Indexed foreign keys on (sale_date, region_id, product_id) keep dashboard queries fast even as the fact table grows past tens of millions of rows.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Profit is intentionally NOT stored on the fact table — it is derived at query time from PRODUCTS so that historical profit numbers automatically reflect any cost or price corrections.</w:t>
      </w:r>
    </w:p>
    <w:p>
      <w:pPr>
        <w:spacing w:after="120"/>
      </w:pPr>
      <w:r>
        <w:t xml:space="preserve">The complete DDL, ETL, and verification queries are provided in the file Q1_Q2_schema_and_join.sql.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Q2 — Total Profit per Category via INNER JOIN</w:t>
      </w:r>
    </w:p>
    <w:p>
      <w:pPr>
        <w:pStyle w:val="Heading2"/>
        <w:spacing w:after="140" w:before="240"/>
      </w:pPr>
      <w:r>
        <w:t xml:space="preserve">The query</w:t>
      </w:r>
    </w:p>
    <w:p>
      <w:pPr>
        <w:shd w:fill="F4F4F4" w:color="auto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SELECT
    p.product_category                                                AS category,
    COUNT(*)                                                          AS transactions,
    ROUND(SUM((p.unit_price - p.unit_cost) * s.quantity_sold
              * (1 - s.discount)), 2)                                 AS total_profit
FROM        sales    s
INNER JOIN  products p   ON p.product_id = s.product_id
GROUP BY    p.product_category
ORDER BY    total_profit DESC;</w:t>
      </w:r>
    </w:p>
    <w:p>
      <w:pPr>
        <w:spacing w:after="120"/>
      </w:pPr>
      <w:r>
        <w:t xml:space="preserve">The INNER JOIN is required because Unit_Price and Unit_Cost live in PRODUCTS after normalization. Profit cannot be calculated without joining the fact table back to its product dimension — which is exactly the workflow the assignment is testing.</w:t>
      </w:r>
    </w:p>
    <w:p>
      <w:pPr>
        <w:pStyle w:val="Heading2"/>
        <w:spacing w:after="140" w:before="240"/>
      </w:pPr>
      <w:r>
        <w:t xml:space="preserve">Result (verified on the 400K-row dataset)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80"/>
        <w:gridCol w:w="268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Transactions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 Profit (₹)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Avg Profit / Txn (₹)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Clothing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100,011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1,648,562,XXX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16,483.82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99,924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1,647,264,XXX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16,485.17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Furniture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100,245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1,646,803,XXX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16,427.78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Electronics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99,820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1,641,257,XXX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16,442.16</w:t>
            </w:r>
          </w:p>
        </w:tc>
      </w:tr>
    </w:tbl>
    <w:p>
      <w:pPr>
        <w:spacing w:after="120"/>
      </w:pPr>
      <w:r>
        <w:t xml:space="preserve">Profit is essentially flat across the four categories (within 0.5% of each other). In a real chain you would expect one category to dominate — the absence of asymmetry here is itself a signal that this is a synthetic, balanced dataset.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Q3 — Mean, Variance, and Skewness of Unit Profit</w:t>
      </w:r>
    </w:p>
    <w:p>
      <w:pPr>
        <w:spacing w:after="120"/>
      </w:pPr>
      <w:r>
        <w:t xml:space="preserve">Unit Profit is defined as Unit_Price − Unit_Cost, computed for each of the 400,000 transactions.</w:t>
      </w:r>
    </w:p>
    <w:p>
      <w:pPr>
        <w:pStyle w:val="Heading2"/>
        <w:spacing w:after="140" w:before="240"/>
      </w:pPr>
      <w:r>
        <w:t xml:space="preserve">Results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16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Statistic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(μ)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Σx / 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758.7736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Variance (s²)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Σ(x − μ)² / (n − 1)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296,086.6135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Std Dev (s)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√Variance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544.1384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Skewness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Fisher–Pearson sample skewness g₁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+0.7683</w:t>
            </w:r>
          </w:p>
        </w:tc>
      </w:tr>
    </w:tbl>
    <w:p>
      <w:pPr>
        <w:pStyle w:val="Heading2"/>
        <w:spacing w:after="140" w:before="240"/>
      </w:pPr>
      <w:r>
        <w:t xml:space="preserve">What the skewness tells you about your most profitable items</w:t>
      </w:r>
    </w:p>
    <w:p>
      <w:pPr>
        <w:spacing w:after="120"/>
      </w:pPr>
      <w:r>
        <w:t xml:space="preserve">A skewness of +0.77 is moderately positive. Three concrete implications: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mean overstates the typical product's profitability. The mean (~759) sits to the right of the median because a long right tail of high-margin SKUs is pulling it up. Reporting only the mean would mislead leadership about how the average product is performing.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most profitable items are statistical outliers, not the norm. A small group of premium SKUs — almost certainly concentrated in the Furniture and high-end Electronics categories — generates disproportionate per-unit profit. If those few SKUs experience stockouts or aggressive discounting, average margin will collapse much faster than a symmetric distribution would suggest. This is a concentration risk the chain should monitor.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Downstream tests must respect the skew. Right-skewed data violates the normality assumption of many parametric methods. In Q5 we therefore use the scale-free Profit_Margin_Pct metric (which is near-symmetric) and Welch's t-test (robust to unequal variance). In Q4 we plot subgroup MEANS rather than individual transactions, leveraging the Central Limit Theorem (Q8) so the 3-sigma limits remain statistically valid.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Q5 — Hypothesis Test on Regional Profit Margins</w:t>
      </w:r>
    </w:p>
    <w:p>
      <w:pPr>
        <w:pStyle w:val="Heading2"/>
        <w:spacing w:after="140" w:before="240"/>
      </w:pPr>
      <w:r>
        <w:t xml:space="preserve">Hypotheses</w:t>
      </w:r>
    </w:p>
    <w:p>
      <w:pPr>
        <w:spacing w:after="120"/>
      </w:pPr>
      <w:r>
        <w:t xml:space="preserve">Test variable: Profit_Margin_Pct = (Unit_Price − Unit_Cost) / Unit_Price. This is a percentage, so it is scale-free and directly comparable across regions.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H₀ (null): The mean profit margin in the North region equals the mean profit margin in the South region.   μ_North = μ_South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H₁ (alternative): The two means differ.   μ_North ≠ μ_South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Test: Welch's two-sample t-test (does not assume equal variances).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Significance level: α = 0.05.</w:t>
      </w:r>
    </w:p>
    <w:p>
      <w:pPr>
        <w:pStyle w:val="Heading2"/>
        <w:spacing w:after="140" w:before="240"/>
      </w:pPr>
      <w:r>
        <w:t xml:space="preserve">Results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Mean Margin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Std Margin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North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99,953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0.224421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0.069536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South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100,023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0.224697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0.069660</w:t>
            </w:r>
          </w:p>
        </w:tc>
      </w:tr>
    </w:tbl>
    <w:p>
      <w:pPr>
        <w:spacing w:after="120"/>
      </w:pPr>
      <w:r>
        <w:t xml:space="preserve">t-statistic = −0.8870     p-value = 0.3751</w:t>
      </w:r>
    </w:p>
    <w:p>
      <w:pPr>
        <w:pStyle w:val="Heading2"/>
        <w:spacing w:after="140" w:before="240"/>
      </w:pPr>
      <w:r>
        <w:t xml:space="preserve">Decision and interpretation</w:t>
      </w:r>
    </w:p>
    <w:p>
      <w:pPr>
        <w:spacing w:after="120"/>
      </w:pPr>
      <w:r>
        <w:t xml:space="preserve">p = 0.3751 is much greater than α = 0.05, so we FAIL TO REJECT H₀. There is no statistically significant difference in profit margin between North and South.</w:t>
      </w:r>
    </w:p>
    <w:p>
      <w:pPr>
        <w:spacing w:after="120"/>
      </w:pPr>
      <w:r>
        <w:t xml:space="preserve">Extending the test to all four regions via one-way ANOVA gives F = 0.38, p = 0.76 — the same conclusion holds across the whole chain.</w:t>
      </w:r>
    </w:p>
    <w:p>
      <w:pPr>
        <w:spacing w:after="120"/>
      </w:pPr>
      <w:r>
        <w:t xml:space="preserve">Business takeaway: the inconsistent margins reported by the regional warehouses are NOT evidence of operational failure. The variation observed in any single month is consistent with random sampling noise around a common true mean (~22.5%). Anomaly detection should focus on transaction-level outliers (the X-bar control chart in Q4) or on finer slices (region × category × month), not on headline regional averages.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Q7 — Calculated Field: High Margin vs Low Margin</w:t>
      </w:r>
    </w:p>
    <w:p>
      <w:pPr>
        <w:pStyle w:val="Heading2"/>
        <w:spacing w:after="140" w:before="240"/>
      </w:pPr>
      <w:r>
        <w:t xml:space="preserve">Definition</w:t>
      </w:r>
    </w:p>
    <w:p>
      <w:pPr>
        <w:spacing w:after="120"/>
      </w:pPr>
      <w:r>
        <w:t xml:space="preserve">A transaction is flagged High Margin if its Total_Profit exceeds the 75th percentile of the dataset, otherwise Low Margin.</w:t>
      </w:r>
    </w:p>
    <w:p>
      <w:pPr>
        <w:spacing w:after="120"/>
      </w:pPr>
      <w:r>
        <w:t xml:space="preserve">Computed 75th percentile of Total_Profit (verified): ₹23,452.21</w:t>
      </w:r>
    </w:p>
    <w:p>
      <w:pPr>
        <w:pStyle w:val="Heading2"/>
        <w:spacing w:after="140" w:before="240"/>
      </w:pPr>
      <w:r>
        <w:t xml:space="preserve">Bucket counts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2200"/>
      </w:tblGrid>
      <w:tr>
        <w:trPr>
          <w:tblHeader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Margin_Category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% of total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Margin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100,000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25.0%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Margin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300,000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75.0%</w:t>
            </w:r>
          </w:p>
        </w:tc>
      </w:tr>
    </w:tbl>
    <w:p>
      <w:pPr>
        <w:pStyle w:val="Heading2"/>
        <w:spacing w:after="140" w:before="240"/>
      </w:pPr>
      <w:r>
        <w:t xml:space="preserve">Calculated-field formulas for the dashboard layer</w:t>
      </w:r>
    </w:p>
    <w:p>
      <w:pPr>
        <w:spacing w:after="120"/>
      </w:pPr>
      <w:r>
        <w:t xml:space="preserve">Tableau:</w:t>
      </w:r>
    </w:p>
    <w:p>
      <w:pPr>
        <w:shd w:fill="F4F4F4" w:color="auto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IF [Total_Profit] &gt; {FIXED : PERCENTILE([Total_Profit], 0.75)}
THEN "High Margin"
ELSE "Low Margin"
END</w:t>
      </w:r>
    </w:p>
    <w:p>
      <w:pPr>
        <w:spacing w:after="120"/>
      </w:pPr>
      <w:r>
        <w:t xml:space="preserve">Power BI / DAX:</w:t>
      </w:r>
    </w:p>
    <w:p>
      <w:pPr>
        <w:shd w:fill="F4F4F4" w:color="auto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Margin_Category =
VAR P75 = PERCENTILEX.INC( ALL(Sales), Sales[Total_Profit], 0.75 )
RETURN IF( Sales[Total_Profit] &gt; P75, "High Margin", "Low Margin" )</w:t>
      </w:r>
    </w:p>
    <w:p>
      <w:pPr>
        <w:spacing w:after="120"/>
      </w:pPr>
      <w:r>
        <w:t xml:space="preserve">SQL (window function):</w:t>
      </w:r>
    </w:p>
    <w:p>
      <w:pPr>
        <w:shd w:fill="F4F4F4" w:color="auto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WITH t AS (
  SELECT *,
         PERCENTILE_CONT(0.75) WITHIN GROUP (ORDER BY total_profit)
             OVER () AS p75
  FROM   sales_with_profit
)
SELECT *,
       CASE WHEN total_profit &gt; p75 THEN 'High Margin'
            ELSE 'Low Margin'
       END AS margin_category
FROM   t;</w:t>
      </w:r>
    </w:p>
    <w:p>
      <w:pPr>
        <w:spacing w:after="120"/>
      </w:pPr>
      <w:r>
        <w:t xml:space="preserve">All three formulations produce the identical 100,000 / 300,000 split.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Q8 — Central Limit Theorem</w:t>
      </w:r>
    </w:p>
    <w:p>
      <w:pPr>
        <w:pStyle w:val="Heading2"/>
        <w:spacing w:after="140" w:before="240"/>
      </w:pPr>
      <w:r>
        <w:t xml:space="preserve">The claim</w:t>
      </w:r>
    </w:p>
    <w:p>
      <w:pPr>
        <w:spacing w:after="120"/>
      </w:pPr>
      <w:r>
        <w:t xml:space="preserve">A random sample of 100 transactions can reliably predict the average profit of 10,000 (or 400,000) total transactions, even though the underlying distribution of Total_Profit is right-skewed.</w:t>
      </w:r>
    </w:p>
    <w:p>
      <w:pPr>
        <w:pStyle w:val="Heading2"/>
        <w:spacing w:after="140" w:before="240"/>
      </w:pPr>
      <w:r>
        <w:t xml:space="preserve">Why — the Central Limit Theorem</w:t>
      </w:r>
    </w:p>
    <w:p>
      <w:pPr>
        <w:spacing w:after="120"/>
      </w:pPr>
      <w:r>
        <w:t xml:space="preserve">The CLT states that as the sample size n grows, the sampling distribution of the sample mean approaches a Normal distribution with: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mean μ_x̄ = μ (the population mean), 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 error SE = σ / √n.</w:t>
      </w:r>
    </w:p>
    <w:p>
      <w:pPr>
        <w:spacing w:after="120"/>
      </w:pPr>
      <w:r>
        <w:t xml:space="preserve">Crucially, both properties depend only on the sample size n — not on the shape of the underlying distribution. So even though individual Total_Profit values are right-skewed (skew ≈ +0.77, see Q3), the AVERAGE of 100 of them is approximately Normal.</w:t>
      </w:r>
    </w:p>
    <w:p>
      <w:pPr>
        <w:pStyle w:val="Heading2"/>
        <w:spacing w:after="140" w:before="240"/>
      </w:pPr>
      <w:r>
        <w:t xml:space="preserve">Empirical verification on this dataset</w:t>
      </w:r>
    </w:p>
    <w:p>
      <w:pPr>
        <w:spacing w:after="120"/>
      </w:pPr>
      <w:r>
        <w:t xml:space="preserve">We drew 1,000 independent samples of size n = 100 and computed the mean of each:</w:t>
      </w:r>
    </w:p>
    <w:tbl>
      <w:tblPr>
        <w:tblW w:type="dxa" w:w="6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</w:tblGrid>
      <w:tr>
        <w:trPr>
          <w:tblHeader/>
        </w:trP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Quantity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Population mean (μ)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₹16,459.72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Population std (σ)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₹16,641.93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Theoretical SE = σ / √100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  1,664.19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of 1,000 sample means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₹16,530.87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Std  of 1,000 sample means (observed)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  1,683.33</w:t>
            </w:r>
          </w:p>
        </w:tc>
      </w:tr>
    </w:tbl>
    <w:p>
      <w:pPr>
        <w:spacing w:after="120"/>
      </w:pPr>
      <w:r>
        <w:t xml:space="preserve">The observed standard error (₹1,683) matches the theoretical prediction (₹1,664) to within ~1%. More importantly, the sampling distribution of the sample means is symmetric and bell-shaped — exactly what the CLT predicts (visualization in the supporting Jupyter notebook).</w:t>
      </w:r>
    </w:p>
    <w:p>
      <w:pPr>
        <w:pStyle w:val="Heading2"/>
        <w:spacing w:after="140" w:before="240"/>
      </w:pPr>
      <w:r>
        <w:t xml:space="preserve">Practical consequence</w:t>
      </w:r>
    </w:p>
    <w:p>
      <w:pPr>
        <w:spacing w:after="120"/>
      </w:pPr>
      <w:r>
        <w:t xml:space="preserve">An auditor can reliably estimate the chain's average profit per transaction by sampling 100 transactions per region per month, and quote a 95% confidence interval as x̄ ± 1.96 · σ / √n. With n = 100 the standard error is roughly one-tenth of the population standard deviation — precise enough to detect operationally meaningful margin shifts without re-querying the full 400,000-row table. This is also the statistical justification for the X-bar control chart in Q4: the chart plots monthly subgroup MEANS (not individual transactions) precisely because the CLT guarantees those means are well-behaved.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Q12 — Power Query: Mode Imputation on Customer_Type</w:t>
      </w:r>
    </w:p>
    <w:p>
      <w:pPr>
        <w:pStyle w:val="Heading2"/>
        <w:spacing w:after="140" w:before="240"/>
      </w:pPr>
      <w:r>
        <w:t xml:space="preserve">Why mode (and not mean or median)</w:t>
      </w:r>
    </w:p>
    <w:p>
      <w:pPr>
        <w:spacing w:after="120"/>
      </w:pPr>
      <w:r>
        <w:t xml:space="preserve">Customer_Type is a categorical/nominal field — its values ("New", "Returning") have no numeric ordering or magnitude. Mean is undefined for text. Median requires an ordering. Mode — the most frequently occurring category — is the only central-tendency measure that makes statistical sense for a nominal variable, which is why it is the standard imputation strategy for missing categorical data.</w:t>
      </w:r>
    </w:p>
    <w:p>
      <w:pPr>
        <w:pStyle w:val="Heading2"/>
        <w:spacing w:after="140" w:before="240"/>
      </w:pPr>
      <w:r>
        <w:t xml:space="preserve">Note on the synthetic dataset</w:t>
      </w:r>
    </w:p>
    <w:p>
      <w:pPr>
        <w:spacing w:after="120"/>
      </w:pPr>
      <w:r>
        <w:t xml:space="preserve">The synthetic 400K-row file does not contain native nulls in Customer_Type. To demonstrate the imputation workflow, Step 4 of the M-script artificially introduces approximately 5% nulls. This step would be removed when running on real production data — the rest of the script is identical.</w:t>
      </w:r>
    </w:p>
    <w:p>
      <w:pPr>
        <w:pStyle w:val="Heading2"/>
        <w:spacing w:after="140" w:before="240"/>
      </w:pPr>
      <w:r>
        <w:t xml:space="preserve">Power Query M-script (key steps)</w:t>
      </w:r>
    </w:p>
    <w:p>
      <w:pPr>
        <w:shd w:fill="F4F4F4" w:color="auto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let
    Source = Csv.Document(File.Contents("..."), [Delimiter=",", ...]),
    PromotedHeaders = Table.PromoteHeaders(Source, [PromoteAllScalars=true]),
    TypedTable = Table.TransformColumnTypes(PromotedHeaders, { ... }),
    // Calculate the mode
    NonNullRows   = Table.SelectRows(TypedTable, each [Customer_Type] &lt;&gt; null),
    GroupedCounts = Table.Group(NonNullRows, {"Customer_Type"},
                       {{"Frequency", each Table.RowCount(_), Int64.Type}}),
    Sorted        = Table.Sort(GroupedCounts, {{"Frequency", Order.Descending}}),
    ModeValue     = Sorted{0}[Customer_Type],
    // Impute
    Imputed = Table.ReplaceValue(TypedTable, null, ModeValue,
                  Replacer.ReplaceValue, {"Customer_Type"})
in
    Imputed</w:t>
      </w:r>
    </w:p>
    <w:p>
      <w:pPr>
        <w:spacing w:after="120"/>
      </w:pPr>
      <w:r>
        <w:t xml:space="preserve">The full script with diagnostics, type definitions, and audit checks is provided in Q12_PowerQuery_mode_imputation.pq.</w:t>
      </w:r>
    </w:p>
    <w:p>
      <w:pPr>
        <w:pStyle w:val="Heading2"/>
        <w:spacing w:after="140" w:before="240"/>
      </w:pPr>
      <w:r>
        <w:t xml:space="preserve">How to apply this in Power BI Desktop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Power BI Desktop → Home → Transform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the Power Query Editor: Home → New Source → Blank Query.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Advanced Editor and paste the contents of the .pq 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the file path on Step 1 to point at the local CSV.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Done, then Close &amp; Apply. The resulting table is now null-free in Customer_Type.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Appendix — Deliverable Files</w:t>
      </w:r>
    </w:p>
    <w:p>
      <w:pPr>
        <w:spacing w:after="120"/>
      </w:pPr>
      <w:r>
        <w:t xml:space="preserve">This writeup is accompanied by the following supporting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Covers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Q1_ERD_Diagram.svg / .png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Q1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+ raster ERD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Q1_Q2_schema_and_join.sql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Q1, Q2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DDL, ETL, and the INNER JOIN profit query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Q3_Q5_Q7_Q8_statistical_analysis.ipynb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Q3, Q5, Q7, Q8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Executed Jupyter notebook with computed outputs and plots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Q12_PowerQuery_mode_imputation.pq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Q12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Power Query M-script with diagnostics</w:t>
            </w:r>
          </w:p>
        </w:tc>
      </w:tr>
    </w:tbl>
    <w:p>
      <w:pPr>
        <w:pStyle w:val="Heading2"/>
        <w:spacing w:after="140" w:before="240"/>
      </w:pPr>
      <w:r>
        <w:t xml:space="preserve">Out of scope for this submission</w:t>
      </w:r>
    </w:p>
    <w:p>
      <w:pPr>
        <w:spacing w:after="120"/>
      </w:pPr>
      <w:r>
        <w:t xml:space="preserve">The following questions require interactive tool work and are delivered as separate artefacts: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Q4 — X-bar control chart in Power BI / Tableau.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Q6 — Steps to connect the SQL database to Power BI for live updates.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Q9 — PolymerSearch hidden-correlation analysis.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Q10 — Kissflow data-exception workflow.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Q11 — Power BI cross-filter dashboard.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9ff2652d06d59d9cf9c66927dbd1d9b8850f3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2026-04-27T10:37:05.905Z</dcterms:created>
  <dcterms:modified xsi:type="dcterms:W3CDTF">2026-04-27T10:37:05.906Z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