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595959"/>
          <w:sz w:val="24"/>
          <w:szCs w:val="24"/>
        </w:rPr>
        <w:t xml:space="preserve">Track 3: Risk &amp; Financial Analysis</w:t>
      </w:r>
    </w:p>
    <w:p>
      <w:pPr>
        <w:spacing w:after="80" w:before="0"/>
        <w:jc w:val="center"/>
      </w:pPr>
      <w:r>
        <w:rPr>
          <w:rFonts w:ascii="Calibri" w:cs="Calibri" w:eastAsia="Calibri" w:hAnsi="Calibri"/>
          <w:b/>
          <w:bCs/>
          <w:color w:val="1F4E79"/>
          <w:sz w:val="44"/>
          <w:szCs w:val="44"/>
        </w:rPr>
        <w:t xml:space="preserve">Bank Loan Stress Test — Solution Set</w:t>
      </w:r>
    </w:p>
    <w:p>
      <w:pPr>
        <w:spacing w:after="240" w:before="0"/>
        <w:jc w:val="center"/>
      </w:pPr>
      <w:r>
        <w:rPr>
          <w:rFonts w:ascii="Calibri" w:cs="Calibri" w:eastAsia="Calibri" w:hAnsi="Calibri"/>
          <w:i/>
          <w:iCs/>
          <w:color w:val="595959"/>
          <w:sz w:val="26"/>
          <w:szCs w:val="26"/>
        </w:rPr>
        <w:t xml:space="preserve">Questions 1, 2, 3, 4, 5, 7, 8, 12</w:t>
      </w:r>
    </w:p>
    <w:p>
      <w:pPr>
        <w:spacing w:after="60" w:before="60"/>
        <w:jc w:val="center"/>
      </w:pPr>
      <w:r>
        <w:rPr>
          <w:rFonts w:ascii="Calibri" w:cs="Calibri" w:eastAsia="Calibri" w:hAnsi="Calibri"/>
          <w:color w:val="595959"/>
          <w:sz w:val="20"/>
          <w:szCs w:val="20"/>
        </w:rPr>
        <w:t xml:space="preserve">Dataset: Bank Loan &amp; Credit Risk (Kaggle) — 45,000 records, 14 columns</w:t>
      </w:r>
    </w:p>
    <w:p>
      <w:pPr>
        <w:spacing w:after="0" w:before="0"/>
        <w:jc w:val="center"/>
      </w:pPr>
      <w:r>
        <w:rPr>
          <w:rFonts w:ascii="Calibri" w:cs="Calibri" w:eastAsia="Calibri" w:hAnsi="Calibri"/>
          <w:color w:val="595959"/>
          <w:sz w:val="20"/>
          <w:szCs w:val="20"/>
        </w:rPr>
        <w:t xml:space="preserve">Frameworks: P-values, 1NF–3NF Normalization, Relational Joins</w:t>
      </w:r>
    </w:p>
    <w:p>
      <w:pPr>
        <w:spacing w:after="80" w:before="80"/>
      </w:pPr>
      <w:r>
        <w:t xml:space="preserve"/>
      </w:r>
    </w:p>
    <w:p>
      <w:pPr>
        <w:spacing w:after="80" w:before="80"/>
      </w:pPr>
      <w:r>
        <w:t xml:space="preserve"/>
      </w:r>
    </w:p>
    <w:p>
      <w:pPr>
        <w:pStyle w:val="Heading1"/>
        <w:pBdr>
          <w:bottom w:val="single" w:color="1F4E79" w:sz="8" w:space="4"/>
        </w:pBdr>
        <w:spacing w:after="180" w:before="360"/>
      </w:pPr>
      <w:r>
        <w:rPr>
          <w:rFonts w:ascii="Calibri" w:cs="Calibri" w:eastAsia="Calibri" w:hAnsi="Calibri"/>
          <w:b/>
          <w:bCs/>
          <w:color w:val="1F4E79"/>
          <w:sz w:val="32"/>
          <w:szCs w:val="32"/>
        </w:rPr>
        <w:t xml:space="preserve">Question 1 — Apply 2NF and 3NF to Separate Borrower from Loan Data</w:t>
      </w:r>
    </w:p>
    <w:p>
      <w:pPr>
        <w:pStyle w:val="Heading3"/>
        <w:spacing w:after="80" w:before="180"/>
      </w:pPr>
      <w:r>
        <w:rPr>
          <w:rFonts w:ascii="Calibri" w:cs="Calibri" w:eastAsia="Calibri" w:hAnsi="Calibri"/>
          <w:b/>
          <w:bCs/>
          <w:color w:val="595959"/>
          <w:sz w:val="23"/>
          <w:szCs w:val="23"/>
        </w:rPr>
        <w:t xml:space="preserve">The problem with the raw flat file (1NF only)</w:t>
      </w:r>
    </w:p>
    <w:p>
      <w:pPr>
        <w:spacing w:after="60" w:before="60" w:line="300"/>
        <w:jc w:val="left"/>
      </w:pPr>
      <w:r>
        <w:rPr>
          <w:rFonts w:ascii="Calibri" w:cs="Calibri" w:eastAsia="Calibri" w:hAnsi="Calibri"/>
          <w:b w:val="false"/>
          <w:bCs w:val="false"/>
          <w:i w:val="false"/>
          <w:iCs w:val="false"/>
          <w:color w:val="1A1A1A"/>
          <w:sz w:val="22"/>
          <w:szCs w:val="22"/>
        </w:rPr>
        <w:t xml:space="preserve">The raw loan_data.csv is technically in 1NF (atomic values, no repeating groups), but it bundles three different concerns into every row: borrower demographics (age, gender, education, income), credit history (credit_score, credit history length, prior defaults), and loan transaction details (loan_amnt, loan_intent, loan_int_rate, loan_status). When a single borrower takes multiple loans, every demographic attribute is duplicated — creating redundancy, update anomalies, and risk to data integrity.</w:t>
      </w:r>
    </w:p>
    <w:p>
      <w:pPr>
        <w:pStyle w:val="Heading3"/>
        <w:spacing w:after="80" w:before="180"/>
      </w:pPr>
      <w:r>
        <w:rPr>
          <w:rFonts w:ascii="Calibri" w:cs="Calibri" w:eastAsia="Calibri" w:hAnsi="Calibri"/>
          <w:b/>
          <w:bCs/>
          <w:color w:val="595959"/>
          <w:sz w:val="23"/>
          <w:szCs w:val="23"/>
        </w:rPr>
        <w:t xml:space="preserve">Normalization plan</w:t>
      </w:r>
    </w:p>
    <w:p>
      <w:pPr>
        <w:spacing w:after="60" w:before="60" w:line="300"/>
        <w:jc w:val="left"/>
      </w:pPr>
      <w:r>
        <w:rPr>
          <w:rFonts w:ascii="Calibri" w:cs="Calibri" w:eastAsia="Calibri" w:hAnsi="Calibri"/>
          <w:b w:val="false"/>
          <w:bCs w:val="false"/>
          <w:i w:val="false"/>
          <w:iCs w:val="false"/>
          <w:color w:val="1A1A1A"/>
          <w:sz w:val="22"/>
          <w:szCs w:val="22"/>
        </w:rPr>
        <w:t xml:space="preserve">Split the flat file into three tables, each with a single subject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Table</w:t>
            </w:r>
          </w:p>
        </w:tc>
        <w:tc>
          <w:tcPr>
            <w:tcW w:type="dxa" w:w="2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Grain (one row per…)</w:t>
            </w:r>
          </w:p>
        </w:tc>
        <w:tc>
          <w:tcPr>
            <w:tcW w:type="dxa" w:w="47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Key columns</w:t>
            </w:r>
          </w:p>
        </w:tc>
      </w:tr>
      <w:tr>
        <w:tc>
          <w:tcPr>
            <w:tcW w:type="dxa" w:w="1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borrowers</w:t>
            </w:r>
          </w:p>
        </w:tc>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Unique borrower</w:t>
            </w:r>
          </w:p>
        </w:tc>
        <w:tc>
          <w:tcPr>
            <w:tcW w:type="dxa" w:w="47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borrower_id (PK), age, gender, education, income, employment, home ownership</w:t>
            </w:r>
          </w:p>
        </w:tc>
      </w:tr>
      <w:tr>
        <w:tc>
          <w:tcPr>
            <w:tcW w:type="dxa" w:w="1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credit_history</w:t>
            </w:r>
          </w:p>
        </w:tc>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Borrower (1:1 with borrowers)</w:t>
            </w:r>
          </w:p>
        </w:tc>
        <w:tc>
          <w:tcPr>
            <w:tcW w:type="dxa" w:w="47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borrower_id (PK &amp; FK), credit history length, credit_score, prior defaults flag</w:t>
            </w:r>
          </w:p>
        </w:tc>
      </w:tr>
      <w:tr>
        <w:tc>
          <w:tcPr>
            <w:tcW w:type="dxa" w:w="1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loans</w:t>
            </w:r>
          </w:p>
        </w:tc>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Individual loan transaction</w:t>
            </w:r>
          </w:p>
        </w:tc>
        <w:tc>
          <w:tcPr>
            <w:tcW w:type="dxa" w:w="47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loan_id (PK), borrower_id (FK), loan amount, intent, rate, percent income, status</w:t>
            </w:r>
          </w:p>
        </w:tc>
      </w:tr>
    </w:tbl>
    <w:p>
      <w:pPr>
        <w:pStyle w:val="Heading3"/>
        <w:spacing w:after="80" w:before="180"/>
      </w:pPr>
      <w:r>
        <w:rPr>
          <w:rFonts w:ascii="Calibri" w:cs="Calibri" w:eastAsia="Calibri" w:hAnsi="Calibri"/>
          <w:b/>
          <w:bCs/>
          <w:color w:val="595959"/>
          <w:sz w:val="23"/>
          <w:szCs w:val="23"/>
        </w:rPr>
        <w:t xml:space="preserve">Why this satisfies 2NF and 3NF</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2NF satisfied: </w:t>
      </w:r>
      <w:r>
        <w:rPr>
          <w:rFonts w:ascii="Calibri" w:cs="Calibri" w:eastAsia="Calibri" w:hAnsi="Calibri"/>
          <w:b w:val="false"/>
          <w:bCs w:val="false"/>
          <w:i w:val="false"/>
          <w:iCs w:val="false"/>
          <w:color w:val="1A1A1A"/>
          <w:sz w:val="22"/>
          <w:szCs w:val="22"/>
        </w:rPr>
        <w:t xml:space="preserve">Borrower attributes (age, gender, education, etc.) no longer live in the loans table — they only appear in the borrowers table where they fully depend on the primary key (borrower_id). They no longer repeat in every loan row.</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3NF satisfied: </w:t>
      </w:r>
      <w:r>
        <w:rPr>
          <w:rFonts w:ascii="Calibri" w:cs="Calibri" w:eastAsia="Calibri" w:hAnsi="Calibri"/>
          <w:b w:val="false"/>
          <w:bCs w:val="false"/>
          <w:i w:val="false"/>
          <w:iCs w:val="false"/>
          <w:color w:val="1A1A1A"/>
          <w:sz w:val="22"/>
          <w:szCs w:val="22"/>
        </w:rPr>
        <w:t xml:space="preserve">Credit attributes depend on borrower_id, not on loan_id. By separating them into credit_history, we eliminate the transitive dependency loan_id → borrower_id → credit_score from the loans table. Credit data also has its own update cadence (monthly bureau refresh) distinct from demographics.</w:t>
      </w:r>
    </w:p>
    <w:p>
      <w:pPr>
        <w:pStyle w:val="Heading3"/>
        <w:spacing w:after="80" w:before="180"/>
      </w:pPr>
      <w:r>
        <w:rPr>
          <w:rFonts w:ascii="Calibri" w:cs="Calibri" w:eastAsia="Calibri" w:hAnsi="Calibri"/>
          <w:b/>
          <w:bCs/>
          <w:color w:val="595959"/>
          <w:sz w:val="23"/>
          <w:szCs w:val="23"/>
        </w:rPr>
        <w:t xml:space="preserve">Schema diagram</w:t>
      </w:r>
    </w:p>
    <w:p>
      <w:pPr>
        <w:spacing w:after="120" w:before="120"/>
        <w:jc w:val="center"/>
      </w:pPr>
      <w:r>
        <w:drawing>
          <wp:inline distT="0" distB="0" distL="0" distR="0">
            <wp:extent cx="5905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000500"/>
                    </a:xfrm>
                    <a:prstGeom prst="rect">
                      <a:avLst/>
                    </a:prstGeom>
                  </pic:spPr>
                </pic:pic>
              </a:graphicData>
            </a:graphic>
          </wp:inline>
        </w:drawing>
      </w:r>
    </w:p>
    <w:p>
      <w:pPr>
        <w:spacing w:after="240" w:before="0" w:line="300"/>
        <w:jc w:val="center"/>
      </w:pPr>
      <w:r>
        <w:rPr>
          <w:rFonts w:ascii="Calibri" w:cs="Calibri" w:eastAsia="Calibri" w:hAnsi="Calibri"/>
          <w:b/>
          <w:bCs/>
          <w:i/>
          <w:iCs/>
          <w:color w:val="1A1A1A"/>
          <w:sz w:val="22"/>
          <w:szCs w:val="22"/>
        </w:rPr>
        <w:t xml:space="preserve">Figure 1 — Normalization from 1NF flat file to 3NF schema. </w:t>
      </w:r>
      <w:r>
        <w:rPr>
          <w:rFonts w:ascii="Calibri" w:cs="Calibri" w:eastAsia="Calibri" w:hAnsi="Calibri"/>
          <w:b w:val="false"/>
          <w:bCs w:val="false"/>
          <w:i/>
          <w:iCs/>
          <w:color w:val="1A1A1A"/>
          <w:sz w:val="22"/>
          <w:szCs w:val="22"/>
        </w:rPr>
        <w:t xml:space="preserve">Borrowers and credit_history have a 1:1 relationship; borrowers and loans have a 1:N relationship.</w:t>
      </w:r>
    </w:p>
    <w:p>
      <w:pPr>
        <w:pStyle w:val="Heading3"/>
        <w:spacing w:after="80" w:before="180"/>
      </w:pPr>
      <w:r>
        <w:rPr>
          <w:rFonts w:ascii="Calibri" w:cs="Calibri" w:eastAsia="Calibri" w:hAnsi="Calibri"/>
          <w:b/>
          <w:bCs/>
          <w:color w:val="595959"/>
          <w:sz w:val="23"/>
          <w:szCs w:val="23"/>
        </w:rPr>
        <w:t xml:space="preserve">DDL for the normalized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1F4E79" w:sz="16"/>
              <w:bottom w:val="single" w:color="D0D0D0" w:sz="4"/>
              <w:right w:val="single" w:color="D0D0D0" w:sz="4"/>
            </w:tcBorders>
            <w:shd w:fill="F4F4F4" w:val="clear"/>
            <w:tcMar>
              <w:top w:type="dxa" w:w="160"/>
              <w:left w:type="dxa" w:w="200"/>
              <w:bottom w:type="dxa" w:w="160"/>
              <w:right w:type="dxa" w:w="200"/>
            </w:tcMar>
          </w:tcPr>
          <w:p>
            <w:pPr>
              <w:spacing w:after="80" w:before="0"/>
            </w:pPr>
            <w:r>
              <w:rPr>
                <w:rFonts w:ascii="Calibri" w:cs="Calibri" w:eastAsia="Calibri" w:hAnsi="Calibri"/>
                <w:b/>
                <w:bCs/>
                <w:i/>
                <w:iCs/>
                <w:color w:val="1F4E79"/>
                <w:sz w:val="18"/>
                <w:szCs w:val="18"/>
              </w:rPr>
              <w:t xml:space="preserve">SQL — DDL</w:t>
            </w:r>
          </w:p>
          <w:p>
            <w:pPr>
              <w:spacing w:after="0" w:before="0" w:line="260"/>
            </w:pPr>
            <w:r>
              <w:rPr>
                <w:rFonts w:ascii="Consolas" w:cs="Consolas" w:eastAsia="Consolas" w:hAnsi="Consolas"/>
                <w:color w:val="1F1F1F"/>
                <w:sz w:val="20"/>
                <w:szCs w:val="20"/>
              </w:rPr>
              <w:t xml:space="preserve">CREATE TABLE borrowers (</w:t>
            </w:r>
          </w:p>
          <w:p>
            <w:pPr>
              <w:spacing w:after="0" w:before="0" w:line="260"/>
            </w:pPr>
            <w:r>
              <w:rPr>
                <w:rFonts w:ascii="Consolas" w:cs="Consolas" w:eastAsia="Consolas" w:hAnsi="Consolas"/>
                <w:color w:val="1F1F1F"/>
                <w:sz w:val="20"/>
                <w:szCs w:val="20"/>
              </w:rPr>
              <w:t xml:space="preserve">    borrower_id           INT          PRIMARY KEY,</w:t>
            </w:r>
          </w:p>
          <w:p>
            <w:pPr>
              <w:spacing w:after="0" w:before="0" w:line="260"/>
            </w:pPr>
            <w:r>
              <w:rPr>
                <w:rFonts w:ascii="Consolas" w:cs="Consolas" w:eastAsia="Consolas" w:hAnsi="Consolas"/>
                <w:color w:val="1F1F1F"/>
                <w:sz w:val="20"/>
                <w:szCs w:val="20"/>
              </w:rPr>
              <w:t xml:space="preserve">    person_age            INT          NOT NULL,</w:t>
            </w:r>
          </w:p>
          <w:p>
            <w:pPr>
              <w:spacing w:after="0" w:before="0" w:line="260"/>
            </w:pPr>
            <w:r>
              <w:rPr>
                <w:rFonts w:ascii="Consolas" w:cs="Consolas" w:eastAsia="Consolas" w:hAnsi="Consolas"/>
                <w:color w:val="1F1F1F"/>
                <w:sz w:val="20"/>
                <w:szCs w:val="20"/>
              </w:rPr>
              <w:t xml:space="preserve">    person_gender         VARCHAR(10),</w:t>
            </w:r>
          </w:p>
          <w:p>
            <w:pPr>
              <w:spacing w:after="0" w:before="0" w:line="260"/>
            </w:pPr>
            <w:r>
              <w:rPr>
                <w:rFonts w:ascii="Consolas" w:cs="Consolas" w:eastAsia="Consolas" w:hAnsi="Consolas"/>
                <w:color w:val="1F1F1F"/>
                <w:sz w:val="20"/>
                <w:szCs w:val="20"/>
              </w:rPr>
              <w:t xml:space="preserve">    person_education      VARCHAR(20),</w:t>
            </w:r>
          </w:p>
          <w:p>
            <w:pPr>
              <w:spacing w:after="0" w:before="0" w:line="260"/>
            </w:pPr>
            <w:r>
              <w:rPr>
                <w:rFonts w:ascii="Consolas" w:cs="Consolas" w:eastAsia="Consolas" w:hAnsi="Consolas"/>
                <w:color w:val="1F1F1F"/>
                <w:sz w:val="20"/>
                <w:szCs w:val="20"/>
              </w:rPr>
              <w:t xml:space="preserve">    person_income         DECIMAL(12,2),</w:t>
            </w:r>
          </w:p>
          <w:p>
            <w:pPr>
              <w:spacing w:after="0" w:before="0" w:line="260"/>
            </w:pPr>
            <w:r>
              <w:rPr>
                <w:rFonts w:ascii="Consolas" w:cs="Consolas" w:eastAsia="Consolas" w:hAnsi="Consolas"/>
                <w:color w:val="1F1F1F"/>
                <w:sz w:val="20"/>
                <w:szCs w:val="20"/>
              </w:rPr>
              <w:t xml:space="preserve">    person_emp_exp        INT,</w:t>
            </w:r>
          </w:p>
          <w:p>
            <w:pPr>
              <w:spacing w:after="0" w:before="0" w:line="260"/>
            </w:pPr>
            <w:r>
              <w:rPr>
                <w:rFonts w:ascii="Consolas" w:cs="Consolas" w:eastAsia="Consolas" w:hAnsi="Consolas"/>
                <w:color w:val="1F1F1F"/>
                <w:sz w:val="20"/>
                <w:szCs w:val="20"/>
              </w:rPr>
              <w:t xml:space="preserve">    person_home_ownership VARCHAR(15)</w:t>
            </w:r>
          </w:p>
          <w:p>
            <w:pPr>
              <w:spacing w:after="0" w:before="0" w:line="260"/>
            </w:pPr>
            <w:r>
              <w:rPr>
                <w:rFonts w:ascii="Consolas" w:cs="Consolas" w:eastAsia="Consolas" w:hAnsi="Consolas"/>
                <w:color w:val="1F1F1F"/>
                <w:sz w:val="20"/>
                <w:szCs w:val="20"/>
              </w:rPr>
              <w:t xml:space="preserve">);</w:t>
            </w:r>
          </w:p>
          <w:p>
            <w:pPr>
              <w:spacing w:after="0" w:before="0" w:line="260"/>
            </w:pPr>
            <w:r>
              <w:rPr>
                <w:rFonts w:ascii="Consolas" w:cs="Consolas" w:eastAsia="Consolas" w:hAnsi="Consolas"/>
                <w:color w:val="1F1F1F"/>
                <w:sz w:val="20"/>
                <w:szCs w:val="20"/>
              </w:rPr>
              <w:t xml:space="preserve"> </w:t>
            </w:r>
          </w:p>
          <w:p>
            <w:pPr>
              <w:spacing w:after="0" w:before="0" w:line="260"/>
            </w:pPr>
            <w:r>
              <w:rPr>
                <w:rFonts w:ascii="Consolas" w:cs="Consolas" w:eastAsia="Consolas" w:hAnsi="Consolas"/>
                <w:color w:val="1F1F1F"/>
                <w:sz w:val="20"/>
                <w:szCs w:val="20"/>
              </w:rPr>
              <w:t xml:space="preserve">CREATE TABLE credit_history (</w:t>
            </w:r>
          </w:p>
          <w:p>
            <w:pPr>
              <w:spacing w:after="0" w:before="0" w:line="260"/>
            </w:pPr>
            <w:r>
              <w:rPr>
                <w:rFonts w:ascii="Consolas" w:cs="Consolas" w:eastAsia="Consolas" w:hAnsi="Consolas"/>
                <w:color w:val="1F1F1F"/>
                <w:sz w:val="20"/>
                <w:szCs w:val="20"/>
              </w:rPr>
              <w:t xml:space="preserve">    borrower_id                    INT PRIMARY KEY,</w:t>
            </w:r>
          </w:p>
          <w:p>
            <w:pPr>
              <w:spacing w:after="0" w:before="0" w:line="260"/>
            </w:pPr>
            <w:r>
              <w:rPr>
                <w:rFonts w:ascii="Consolas" w:cs="Consolas" w:eastAsia="Consolas" w:hAnsi="Consolas"/>
                <w:color w:val="1F1F1F"/>
                <w:sz w:val="20"/>
                <w:szCs w:val="20"/>
              </w:rPr>
              <w:t xml:space="preserve">    cb_person_cred_hist_length     DECIMAL(4,1),</w:t>
            </w:r>
          </w:p>
          <w:p>
            <w:pPr>
              <w:spacing w:after="0" w:before="0" w:line="260"/>
            </w:pPr>
            <w:r>
              <w:rPr>
                <w:rFonts w:ascii="Consolas" w:cs="Consolas" w:eastAsia="Consolas" w:hAnsi="Consolas"/>
                <w:color w:val="1F1F1F"/>
                <w:sz w:val="20"/>
                <w:szCs w:val="20"/>
              </w:rPr>
              <w:t xml:space="preserve">    credit_score                   INT,</w:t>
            </w:r>
          </w:p>
          <w:p>
            <w:pPr>
              <w:spacing w:after="0" w:before="0" w:line="260"/>
            </w:pPr>
            <w:r>
              <w:rPr>
                <w:rFonts w:ascii="Consolas" w:cs="Consolas" w:eastAsia="Consolas" w:hAnsi="Consolas"/>
                <w:color w:val="1F1F1F"/>
                <w:sz w:val="20"/>
                <w:szCs w:val="20"/>
              </w:rPr>
              <w:t xml:space="preserve">    previous_loan_defaults_on_file VARCHAR(3),</w:t>
            </w:r>
          </w:p>
          <w:p>
            <w:pPr>
              <w:spacing w:after="0" w:before="0" w:line="260"/>
            </w:pPr>
            <w:r>
              <w:rPr>
                <w:rFonts w:ascii="Consolas" w:cs="Consolas" w:eastAsia="Consolas" w:hAnsi="Consolas"/>
                <w:color w:val="1F1F1F"/>
                <w:sz w:val="20"/>
                <w:szCs w:val="20"/>
              </w:rPr>
              <w:t xml:space="preserve">    FOREIGN KEY (borrower_id) REFERENCES borrowers(borrower_id)</w:t>
            </w:r>
          </w:p>
          <w:p>
            <w:pPr>
              <w:spacing w:after="0" w:before="0" w:line="260"/>
            </w:pPr>
            <w:r>
              <w:rPr>
                <w:rFonts w:ascii="Consolas" w:cs="Consolas" w:eastAsia="Consolas" w:hAnsi="Consolas"/>
                <w:color w:val="1F1F1F"/>
                <w:sz w:val="20"/>
                <w:szCs w:val="20"/>
              </w:rPr>
              <w:t xml:space="preserve">);</w:t>
            </w:r>
          </w:p>
          <w:p>
            <w:pPr>
              <w:spacing w:after="0" w:before="0" w:line="260"/>
            </w:pPr>
            <w:r>
              <w:rPr>
                <w:rFonts w:ascii="Consolas" w:cs="Consolas" w:eastAsia="Consolas" w:hAnsi="Consolas"/>
                <w:color w:val="1F1F1F"/>
                <w:sz w:val="20"/>
                <w:szCs w:val="20"/>
              </w:rPr>
              <w:t xml:space="preserve"> </w:t>
            </w:r>
          </w:p>
          <w:p>
            <w:pPr>
              <w:spacing w:after="0" w:before="0" w:line="260"/>
            </w:pPr>
            <w:r>
              <w:rPr>
                <w:rFonts w:ascii="Consolas" w:cs="Consolas" w:eastAsia="Consolas" w:hAnsi="Consolas"/>
                <w:color w:val="1F1F1F"/>
                <w:sz w:val="20"/>
                <w:szCs w:val="20"/>
              </w:rPr>
              <w:t xml:space="preserve">CREATE TABLE loans (</w:t>
            </w:r>
          </w:p>
          <w:p>
            <w:pPr>
              <w:spacing w:after="0" w:before="0" w:line="260"/>
            </w:pPr>
            <w:r>
              <w:rPr>
                <w:rFonts w:ascii="Consolas" w:cs="Consolas" w:eastAsia="Consolas" w:hAnsi="Consolas"/>
                <w:color w:val="1F1F1F"/>
                <w:sz w:val="20"/>
                <w:szCs w:val="20"/>
              </w:rPr>
              <w:t xml:space="preserve">    loan_id              INT          PRIMARY KEY,</w:t>
            </w:r>
          </w:p>
          <w:p>
            <w:pPr>
              <w:spacing w:after="0" w:before="0" w:line="260"/>
            </w:pPr>
            <w:r>
              <w:rPr>
                <w:rFonts w:ascii="Consolas" w:cs="Consolas" w:eastAsia="Consolas" w:hAnsi="Consolas"/>
                <w:color w:val="1F1F1F"/>
                <w:sz w:val="20"/>
                <w:szCs w:val="20"/>
              </w:rPr>
              <w:t xml:space="preserve">    borrower_id          INT          NOT NULL,</w:t>
            </w:r>
          </w:p>
          <w:p>
            <w:pPr>
              <w:spacing w:after="0" w:before="0" w:line="260"/>
            </w:pPr>
            <w:r>
              <w:rPr>
                <w:rFonts w:ascii="Consolas" w:cs="Consolas" w:eastAsia="Consolas" w:hAnsi="Consolas"/>
                <w:color w:val="1F1F1F"/>
                <w:sz w:val="20"/>
                <w:szCs w:val="20"/>
              </w:rPr>
              <w:t xml:space="preserve">    loan_amnt            DECIMAL(12,2),</w:t>
            </w:r>
          </w:p>
          <w:p>
            <w:pPr>
              <w:spacing w:after="0" w:before="0" w:line="260"/>
            </w:pPr>
            <w:r>
              <w:rPr>
                <w:rFonts w:ascii="Consolas" w:cs="Consolas" w:eastAsia="Consolas" w:hAnsi="Consolas"/>
                <w:color w:val="1F1F1F"/>
                <w:sz w:val="20"/>
                <w:szCs w:val="20"/>
              </w:rPr>
              <w:t xml:space="preserve">    loan_intent          VARCHAR(20),</w:t>
            </w:r>
          </w:p>
          <w:p>
            <w:pPr>
              <w:spacing w:after="0" w:before="0" w:line="260"/>
            </w:pPr>
            <w:r>
              <w:rPr>
                <w:rFonts w:ascii="Consolas" w:cs="Consolas" w:eastAsia="Consolas" w:hAnsi="Consolas"/>
                <w:color w:val="1F1F1F"/>
                <w:sz w:val="20"/>
                <w:szCs w:val="20"/>
              </w:rPr>
              <w:t xml:space="preserve">    loan_int_rate        DECIMAL(5,2),</w:t>
            </w:r>
          </w:p>
          <w:p>
            <w:pPr>
              <w:spacing w:after="0" w:before="0" w:line="260"/>
            </w:pPr>
            <w:r>
              <w:rPr>
                <w:rFonts w:ascii="Consolas" w:cs="Consolas" w:eastAsia="Consolas" w:hAnsi="Consolas"/>
                <w:color w:val="1F1F1F"/>
                <w:sz w:val="20"/>
                <w:szCs w:val="20"/>
              </w:rPr>
              <w:t xml:space="preserve">    loan_percent_income  DECIMAL(5,4),</w:t>
            </w:r>
          </w:p>
          <w:p>
            <w:pPr>
              <w:spacing w:after="0" w:before="0" w:line="260"/>
            </w:pPr>
            <w:r>
              <w:rPr>
                <w:rFonts w:ascii="Consolas" w:cs="Consolas" w:eastAsia="Consolas" w:hAnsi="Consolas"/>
                <w:color w:val="1F1F1F"/>
                <w:sz w:val="20"/>
                <w:szCs w:val="20"/>
              </w:rPr>
              <w:t xml:space="preserve">    loan_status          INT,</w:t>
            </w:r>
          </w:p>
          <w:p>
            <w:pPr>
              <w:spacing w:after="0" w:before="0" w:line="260"/>
            </w:pPr>
            <w:r>
              <w:rPr>
                <w:rFonts w:ascii="Consolas" w:cs="Consolas" w:eastAsia="Consolas" w:hAnsi="Consolas"/>
                <w:color w:val="1F1F1F"/>
                <w:sz w:val="20"/>
                <w:szCs w:val="20"/>
              </w:rPr>
              <w:t xml:space="preserve">    FOREIGN KEY (borrower_id) REFERENCES borrowers(borrower_id)</w:t>
            </w:r>
          </w:p>
          <w:p>
            <w:pPr>
              <w:spacing w:after="0" w:before="0" w:line="260"/>
            </w:pPr>
            <w:r>
              <w:rPr>
                <w:rFonts w:ascii="Consolas" w:cs="Consolas" w:eastAsia="Consolas" w:hAnsi="Consolas"/>
                <w:color w:val="1F1F1F"/>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Production benefits</w:t>
            </w:r>
          </w:p>
          <w:p>
            <w:pPr>
              <w:spacing w:after="0" w:before="0" w:line="300"/>
            </w:pPr>
            <w:r>
              <w:rPr>
                <w:rFonts w:ascii="Calibri" w:cs="Calibri" w:eastAsia="Calibri" w:hAnsi="Calibri"/>
                <w:color w:val="1A1A1A"/>
                <w:sz w:val="22"/>
                <w:szCs w:val="22"/>
              </w:rPr>
              <w:t xml:space="preserve">Updating a borrower's address touches one row instead of many. Storage shrinks proportionally to the average loans-per-borrower. Referential integrity prevents orphaned loan records.</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2 — FULL OUTER JOIN: Reconcile Applications vs Funded Loans</w:t>
      </w:r>
    </w:p>
    <w:p>
      <w:pPr>
        <w:pStyle w:val="Heading3"/>
        <w:spacing w:after="80" w:before="180"/>
      </w:pPr>
      <w:r>
        <w:rPr>
          <w:rFonts w:ascii="Calibri" w:cs="Calibri" w:eastAsia="Calibri" w:hAnsi="Calibri"/>
          <w:b/>
          <w:bCs/>
          <w:color w:val="595959"/>
          <w:sz w:val="23"/>
          <w:szCs w:val="23"/>
        </w:rPr>
        <w:t xml:space="preserve">Business context</w:t>
      </w:r>
    </w:p>
    <w:p>
      <w:pPr>
        <w:spacing w:after="60" w:before="60" w:line="300"/>
        <w:jc w:val="left"/>
      </w:pPr>
      <w:r>
        <w:rPr>
          <w:rFonts w:ascii="Calibri" w:cs="Calibri" w:eastAsia="Calibri" w:hAnsi="Calibri"/>
          <w:b w:val="false"/>
          <w:bCs w:val="false"/>
          <w:i w:val="false"/>
          <w:iCs w:val="false"/>
          <w:color w:val="1A1A1A"/>
          <w:sz w:val="22"/>
          <w:szCs w:val="22"/>
        </w:rPr>
        <w:t xml:space="preserve">The Risk Committee needs to reconcile two operational systems: the applications table (every loan request submitted) and the funded_loans table (every loan that was actually disbursed). In a healthy pipeline these should agree on application_id. In practice they don't, for two distinct reasons that both matter to risk and compliance.</w:t>
      </w:r>
    </w:p>
    <w:p>
      <w:pPr>
        <w:pStyle w:val="Heading3"/>
        <w:spacing w:after="80" w:before="180"/>
      </w:pPr>
      <w:r>
        <w:rPr>
          <w:rFonts w:ascii="Calibri" w:cs="Calibri" w:eastAsia="Calibri" w:hAnsi="Calibri"/>
          <w:b/>
          <w:bCs/>
          <w:color w:val="595959"/>
          <w:sz w:val="23"/>
          <w:szCs w:val="23"/>
        </w:rPr>
        <w:t xml:space="preserve">Setup — derive the two tables from the raw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1F4E79" w:sz="16"/>
              <w:bottom w:val="single" w:color="D0D0D0" w:sz="4"/>
              <w:right w:val="single" w:color="D0D0D0" w:sz="4"/>
            </w:tcBorders>
            <w:shd w:fill="F4F4F4" w:val="clear"/>
            <w:tcMar>
              <w:top w:type="dxa" w:w="160"/>
              <w:left w:type="dxa" w:w="200"/>
              <w:bottom w:type="dxa" w:w="160"/>
              <w:right w:type="dxa" w:w="200"/>
            </w:tcMar>
          </w:tcPr>
          <w:p>
            <w:pPr>
              <w:spacing w:after="80" w:before="0"/>
            </w:pPr>
            <w:r>
              <w:rPr>
                <w:rFonts w:ascii="Calibri" w:cs="Calibri" w:eastAsia="Calibri" w:hAnsi="Calibri"/>
                <w:b/>
                <w:bCs/>
                <w:i/>
                <w:iCs/>
                <w:color w:val="1F4E79"/>
                <w:sz w:val="18"/>
                <w:szCs w:val="18"/>
              </w:rPr>
              <w:t xml:space="preserve">Python — Setup</w:t>
            </w:r>
          </w:p>
          <w:p>
            <w:pPr>
              <w:spacing w:after="0" w:before="0" w:line="260"/>
            </w:pPr>
            <w:r>
              <w:rPr>
                <w:rFonts w:ascii="Consolas" w:cs="Consolas" w:eastAsia="Consolas" w:hAnsi="Consolas"/>
                <w:color w:val="1F1F1F"/>
                <w:sz w:val="20"/>
                <w:szCs w:val="20"/>
              </w:rPr>
              <w:t xml:space="preserve"># Add a synthetic application_id (the join key)</w:t>
            </w:r>
          </w:p>
          <w:p>
            <w:pPr>
              <w:spacing w:after="0" w:before="0" w:line="260"/>
            </w:pPr>
            <w:r>
              <w:rPr>
                <w:rFonts w:ascii="Consolas" w:cs="Consolas" w:eastAsia="Consolas" w:hAnsi="Consolas"/>
                <w:color w:val="1F1F1F"/>
                <w:sz w:val="20"/>
                <w:szCs w:val="20"/>
              </w:rPr>
              <w:t xml:space="preserve">df['application_id'] = ['APP-' + str(i).zfill(6) for i in range(len(df))]</w:t>
            </w:r>
          </w:p>
          <w:p>
            <w:pPr>
              <w:spacing w:after="0" w:before="0" w:line="260"/>
            </w:pPr>
            <w:r>
              <w:rPr>
                <w:rFonts w:ascii="Consolas" w:cs="Consolas" w:eastAsia="Consolas" w:hAnsi="Consolas"/>
                <w:color w:val="1F1F1F"/>
                <w:sz w:val="20"/>
                <w:szCs w:val="20"/>
              </w:rPr>
              <w:t xml:space="preserve"> </w:t>
            </w:r>
          </w:p>
          <w:p>
            <w:pPr>
              <w:spacing w:after="0" w:before="0" w:line="260"/>
            </w:pPr>
            <w:r>
              <w:rPr>
                <w:rFonts w:ascii="Consolas" w:cs="Consolas" w:eastAsia="Consolas" w:hAnsi="Consolas"/>
                <w:color w:val="1F1F1F"/>
                <w:sz w:val="20"/>
                <w:szCs w:val="20"/>
              </w:rPr>
              <w:t xml:space="preserve"># applications = 99% of records (simulating tiny intake gaps)</w:t>
            </w:r>
          </w:p>
          <w:p>
            <w:pPr>
              <w:spacing w:after="0" w:before="0" w:line="260"/>
            </w:pPr>
            <w:r>
              <w:rPr>
                <w:rFonts w:ascii="Consolas" w:cs="Consolas" w:eastAsia="Consolas" w:hAnsi="Consolas"/>
                <w:color w:val="1F1F1F"/>
                <w:sz w:val="20"/>
                <w:szCs w:val="20"/>
              </w:rPr>
              <w:t xml:space="preserve">applications = df.sample(frac=0.99, random_state=1)   # 44,550 rows</w:t>
            </w:r>
          </w:p>
          <w:p>
            <w:pPr>
              <w:spacing w:after="0" w:before="0" w:line="260"/>
            </w:pPr>
            <w:r>
              <w:rPr>
                <w:rFonts w:ascii="Consolas" w:cs="Consolas" w:eastAsia="Consolas" w:hAnsi="Consolas"/>
                <w:color w:val="1F1F1F"/>
                <w:sz w:val="20"/>
                <w:szCs w:val="20"/>
              </w:rPr>
              <w:t xml:space="preserve"> </w:t>
            </w:r>
          </w:p>
          <w:p>
            <w:pPr>
              <w:spacing w:after="0" w:before="0" w:line="260"/>
            </w:pPr>
            <w:r>
              <w:rPr>
                <w:rFonts w:ascii="Consolas" w:cs="Consolas" w:eastAsia="Consolas" w:hAnsi="Consolas"/>
                <w:color w:val="1F1F1F"/>
                <w:sz w:val="20"/>
                <w:szCs w:val="20"/>
              </w:rPr>
              <w:t xml:space="preserve"># funded_loans = 90% of records (10% drop-off rate)</w:t>
            </w:r>
          </w:p>
          <w:p>
            <w:pPr>
              <w:spacing w:after="0" w:before="0" w:line="260"/>
            </w:pPr>
            <w:r>
              <w:rPr>
                <w:rFonts w:ascii="Consolas" w:cs="Consolas" w:eastAsia="Consolas" w:hAnsi="Consolas"/>
                <w:color w:val="1F1F1F"/>
                <w:sz w:val="20"/>
                <w:szCs w:val="20"/>
              </w:rPr>
              <w:t xml:space="preserve">funded_loans = df.sample(frac=0.90, random_state=2)   # 40,500 rows</w:t>
            </w:r>
          </w:p>
        </w:tc>
      </w:tr>
    </w:tbl>
    <w:p>
      <w:pPr>
        <w:pStyle w:val="Heading3"/>
        <w:spacing w:after="80" w:before="180"/>
      </w:pPr>
      <w:r>
        <w:rPr>
          <w:rFonts w:ascii="Calibri" w:cs="Calibri" w:eastAsia="Calibri" w:hAnsi="Calibri"/>
          <w:b/>
          <w:bCs/>
          <w:color w:val="595959"/>
          <w:sz w:val="23"/>
          <w:szCs w:val="23"/>
        </w:rPr>
        <w:t xml:space="preserve">FULL OUTER JOIN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1F4E79" w:sz="16"/>
              <w:bottom w:val="single" w:color="D0D0D0" w:sz="4"/>
              <w:right w:val="single" w:color="D0D0D0" w:sz="4"/>
            </w:tcBorders>
            <w:shd w:fill="F4F4F4" w:val="clear"/>
            <w:tcMar>
              <w:top w:type="dxa" w:w="160"/>
              <w:left w:type="dxa" w:w="200"/>
              <w:bottom w:type="dxa" w:w="160"/>
              <w:right w:type="dxa" w:w="200"/>
            </w:tcMar>
          </w:tcPr>
          <w:p>
            <w:pPr>
              <w:spacing w:after="80" w:before="0"/>
            </w:pPr>
            <w:r>
              <w:rPr>
                <w:rFonts w:ascii="Calibri" w:cs="Calibri" w:eastAsia="Calibri" w:hAnsi="Calibri"/>
                <w:b/>
                <w:bCs/>
                <w:i/>
                <w:iCs/>
                <w:color w:val="1F4E79"/>
                <w:sz w:val="18"/>
                <w:szCs w:val="18"/>
              </w:rPr>
              <w:t xml:space="preserve">SQL — ANSI standard</w:t>
            </w:r>
          </w:p>
          <w:p>
            <w:pPr>
              <w:spacing w:after="0" w:before="0" w:line="260"/>
            </w:pPr>
            <w:r>
              <w:rPr>
                <w:rFonts w:ascii="Consolas" w:cs="Consolas" w:eastAsia="Consolas" w:hAnsi="Consolas"/>
                <w:color w:val="1F1F1F"/>
                <w:sz w:val="20"/>
                <w:szCs w:val="20"/>
              </w:rPr>
              <w:t xml:space="preserve">SELECT</w:t>
            </w:r>
          </w:p>
          <w:p>
            <w:pPr>
              <w:spacing w:after="0" w:before="0" w:line="260"/>
            </w:pPr>
            <w:r>
              <w:rPr>
                <w:rFonts w:ascii="Consolas" w:cs="Consolas" w:eastAsia="Consolas" w:hAnsi="Consolas"/>
                <w:color w:val="1F1F1F"/>
                <w:sz w:val="20"/>
                <w:szCs w:val="20"/>
              </w:rPr>
              <w:t xml:space="preserve">    COALESCE(a.application_id, f.application_id) AS application_id,</w:t>
            </w:r>
          </w:p>
          <w:p>
            <w:pPr>
              <w:spacing w:after="0" w:before="0" w:line="260"/>
            </w:pPr>
            <w:r>
              <w:rPr>
                <w:rFonts w:ascii="Consolas" w:cs="Consolas" w:eastAsia="Consolas" w:hAnsi="Consolas"/>
                <w:color w:val="1F1F1F"/>
                <w:sz w:val="20"/>
                <w:szCs w:val="20"/>
              </w:rPr>
              <w:t xml:space="preserve">    a.loan_amnt           AS requested_amount,</w:t>
            </w:r>
          </w:p>
          <w:p>
            <w:pPr>
              <w:spacing w:after="0" w:before="0" w:line="260"/>
            </w:pPr>
            <w:r>
              <w:rPr>
                <w:rFonts w:ascii="Consolas" w:cs="Consolas" w:eastAsia="Consolas" w:hAnsi="Consolas"/>
                <w:color w:val="1F1F1F"/>
                <w:sz w:val="20"/>
                <w:szCs w:val="20"/>
              </w:rPr>
              <w:t xml:space="preserve">    f.loan_amnt           AS funded_amount,</w:t>
            </w:r>
          </w:p>
          <w:p>
            <w:pPr>
              <w:spacing w:after="0" w:before="0" w:line="260"/>
            </w:pPr>
            <w:r>
              <w:rPr>
                <w:rFonts w:ascii="Consolas" w:cs="Consolas" w:eastAsia="Consolas" w:hAnsi="Consolas"/>
                <w:color w:val="1F1F1F"/>
                <w:sz w:val="20"/>
                <w:szCs w:val="20"/>
              </w:rPr>
              <w:t xml:space="preserve">    CASE</w:t>
            </w:r>
          </w:p>
          <w:p>
            <w:pPr>
              <w:spacing w:after="0" w:before="0" w:line="260"/>
            </w:pPr>
            <w:r>
              <w:rPr>
                <w:rFonts w:ascii="Consolas" w:cs="Consolas" w:eastAsia="Consolas" w:hAnsi="Consolas"/>
                <w:color w:val="1F1F1F"/>
                <w:sz w:val="20"/>
                <w:szCs w:val="20"/>
              </w:rPr>
              <w:t xml:space="preserve">        WHEN a.application_id IS NULL THEN 'FUNDED_NO_APPLICATION'</w:t>
            </w:r>
          </w:p>
          <w:p>
            <w:pPr>
              <w:spacing w:after="0" w:before="0" w:line="260"/>
            </w:pPr>
            <w:r>
              <w:rPr>
                <w:rFonts w:ascii="Consolas" w:cs="Consolas" w:eastAsia="Consolas" w:hAnsi="Consolas"/>
                <w:color w:val="1F1F1F"/>
                <w:sz w:val="20"/>
                <w:szCs w:val="20"/>
              </w:rPr>
              <w:t xml:space="preserve">        WHEN f.application_id IS NULL THEN 'APPLIED_NOT_FUNDED'</w:t>
            </w:r>
          </w:p>
          <w:p>
            <w:pPr>
              <w:spacing w:after="0" w:before="0" w:line="260"/>
            </w:pPr>
            <w:r>
              <w:rPr>
                <w:rFonts w:ascii="Consolas" w:cs="Consolas" w:eastAsia="Consolas" w:hAnsi="Consolas"/>
                <w:color w:val="1F1F1F"/>
                <w:sz w:val="20"/>
                <w:szCs w:val="20"/>
              </w:rPr>
              <w:t xml:space="preserve">        ELSE 'MATCHED'</w:t>
            </w:r>
          </w:p>
          <w:p>
            <w:pPr>
              <w:spacing w:after="0" w:before="0" w:line="260"/>
            </w:pPr>
            <w:r>
              <w:rPr>
                <w:rFonts w:ascii="Consolas" w:cs="Consolas" w:eastAsia="Consolas" w:hAnsi="Consolas"/>
                <w:color w:val="1F1F1F"/>
                <w:sz w:val="20"/>
                <w:szCs w:val="20"/>
              </w:rPr>
              <w:t xml:space="preserve">    END                   AS reconciliation_status</w:t>
            </w:r>
          </w:p>
          <w:p>
            <w:pPr>
              <w:spacing w:after="0" w:before="0" w:line="260"/>
            </w:pPr>
            <w:r>
              <w:rPr>
                <w:rFonts w:ascii="Consolas" w:cs="Consolas" w:eastAsia="Consolas" w:hAnsi="Consolas"/>
                <w:color w:val="1F1F1F"/>
                <w:sz w:val="20"/>
                <w:szCs w:val="20"/>
              </w:rPr>
              <w:t xml:space="preserve">FROM applications a</w:t>
            </w:r>
          </w:p>
          <w:p>
            <w:pPr>
              <w:spacing w:after="0" w:before="0" w:line="260"/>
            </w:pPr>
            <w:r>
              <w:rPr>
                <w:rFonts w:ascii="Consolas" w:cs="Consolas" w:eastAsia="Consolas" w:hAnsi="Consolas"/>
                <w:color w:val="1F1F1F"/>
                <w:sz w:val="20"/>
                <w:szCs w:val="20"/>
              </w:rPr>
              <w:t xml:space="preserve">FULL OUTER JOIN funded_loans f</w:t>
            </w:r>
          </w:p>
          <w:p>
            <w:pPr>
              <w:spacing w:after="0" w:before="0" w:line="260"/>
            </w:pPr>
            <w:r>
              <w:rPr>
                <w:rFonts w:ascii="Consolas" w:cs="Consolas" w:eastAsia="Consolas" w:hAnsi="Consolas"/>
                <w:color w:val="1F1F1F"/>
                <w:sz w:val="20"/>
                <w:szCs w:val="20"/>
              </w:rPr>
              <w:t xml:space="preserve">    ON a.application_id = f.application_id</w:t>
            </w:r>
          </w:p>
          <w:p>
            <w:pPr>
              <w:spacing w:after="0" w:before="0" w:line="260"/>
            </w:pPr>
            <w:r>
              <w:rPr>
                <w:rFonts w:ascii="Consolas" w:cs="Consolas" w:eastAsia="Consolas" w:hAnsi="Consolas"/>
                <w:color w:val="1F1F1F"/>
                <w:sz w:val="20"/>
                <w:szCs w:val="20"/>
              </w:rPr>
              <w:t xml:space="preserve">WHERE a.application_id IS NULL          -- only in funded</w:t>
            </w:r>
          </w:p>
          <w:p>
            <w:pPr>
              <w:spacing w:after="0" w:before="0" w:line="260"/>
            </w:pPr>
            <w:r>
              <w:rPr>
                <w:rFonts w:ascii="Consolas" w:cs="Consolas" w:eastAsia="Consolas" w:hAnsi="Consolas"/>
                <w:color w:val="1F1F1F"/>
                <w:sz w:val="20"/>
                <w:szCs w:val="20"/>
              </w:rPr>
              <w:t xml:space="preserve">   OR f.application_id IS NULL          -- only in applications</w:t>
            </w:r>
          </w:p>
          <w:p>
            <w:pPr>
              <w:spacing w:after="0" w:before="0" w:line="260"/>
            </w:pPr>
            <w:r>
              <w:rPr>
                <w:rFonts w:ascii="Consolas" w:cs="Consolas" w:eastAsia="Consolas" w:hAnsi="Consolas"/>
                <w:color w:val="1F1F1F"/>
                <w:sz w:val="20"/>
                <w:szCs w:val="20"/>
              </w:rPr>
              <w:t xml:space="preserve">ORDER BY reconciliation_status, application_id;</w:t>
            </w:r>
          </w:p>
        </w:tc>
      </w:tr>
    </w:tbl>
    <w:p>
      <w:pPr>
        <w:spacing w:after="60" w:before="60" w:line="300"/>
        <w:jc w:val="left"/>
      </w:pPr>
      <w:r>
        <w:rPr>
          <w:rFonts w:ascii="Calibri" w:cs="Calibri" w:eastAsia="Calibri" w:hAnsi="Calibri"/>
          <w:b w:val="false"/>
          <w:bCs w:val="false"/>
          <w:i w:val="false"/>
          <w:iCs w:val="false"/>
          <w:color w:val="1A1A1A"/>
          <w:sz w:val="22"/>
          <w:szCs w:val="22"/>
        </w:rPr>
        <w:t xml:space="preserve">Note: MySQL and SQLite versions before 3.39 do not support FULL OUTER JOIN. The equivalent is a UNION of LEFT JOIN and RIGHT JOIN — both written out in the accompanying SQL file.</w:t>
      </w:r>
    </w:p>
    <w:p>
      <w:pPr>
        <w:pStyle w:val="Heading3"/>
        <w:spacing w:after="80" w:before="180"/>
      </w:pPr>
      <w:r>
        <w:rPr>
          <w:rFonts w:ascii="Calibri" w:cs="Calibri" w:eastAsia="Calibri" w:hAnsi="Calibri"/>
          <w:b/>
          <w:bCs/>
          <w:color w:val="595959"/>
          <w:sz w:val="23"/>
          <w:szCs w:val="23"/>
        </w:rPr>
        <w:t xml:space="preserve">Result against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Reconciliation status</w:t>
            </w:r>
          </w:p>
        </w:tc>
        <w:tc>
          <w:tcPr>
            <w:tcW w:type="dxa" w:w="1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Record count</w:t>
            </w:r>
          </w:p>
        </w:tc>
        <w:tc>
          <w:tcPr>
            <w:tcW w:type="dxa" w:w="46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Interpretation</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MATCHED</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40,092</w:t>
            </w:r>
          </w:p>
        </w:tc>
        <w:tc>
          <w:tcPr>
            <w:tcW w:type="dxa" w:w="46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Clean — application and funding records agree</w:t>
            </w:r>
          </w:p>
        </w:tc>
      </w:tr>
      <w:tr>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APPLIED_NOT_FUNDED</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4,458</w:t>
            </w:r>
          </w:p>
        </w:tc>
        <w:tc>
          <w:tcPr>
            <w:tcW w:type="dxa" w:w="46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Approval-to-funding drop-off (~10%) — normal funnel leak</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FUNDED_NO_APPLICATION</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408</w:t>
            </w:r>
          </w:p>
        </w:tc>
        <w:tc>
          <w:tcPr>
            <w:tcW w:type="dxa" w:w="46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Control failure — disbursed without application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Risk Committee findings</w:t>
            </w:r>
          </w:p>
          <w:p>
            <w:pPr>
              <w:spacing w:after="0" w:before="0" w:line="300"/>
            </w:pPr>
            <w:r>
              <w:rPr>
                <w:rFonts w:ascii="Calibri" w:cs="Calibri" w:eastAsia="Calibri" w:hAnsi="Calibri"/>
                <w:color w:val="1A1A1A"/>
                <w:sz w:val="22"/>
                <w:szCs w:val="22"/>
              </w:rPr>
              <w:t xml:space="preserve">The 408 FUNDED_NO_APPLICATION records are a material control failure. Loans were disbursed without a matching application register entry — this could indicate process workarounds, system migration gaps, or worse. Audit and compliance should investigate within the current quarter. The 4,458 APPLIED_NOT_FUNDED records are a normal funnel leak but worth analyzing to find why borrowers walk away (rates too high? KYC failures? competitor poached?).</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3 — Variance in Interest Rates: Is Risk Pricing Standardized?</w:t>
      </w:r>
    </w:p>
    <w:p>
      <w:pPr>
        <w:pStyle w:val="Heading3"/>
        <w:spacing w:after="80" w:before="180"/>
      </w:pPr>
      <w:r>
        <w:rPr>
          <w:rFonts w:ascii="Calibri" w:cs="Calibri" w:eastAsia="Calibri" w:hAnsi="Calibri"/>
          <w:b/>
          <w:bCs/>
          <w:color w:val="595959"/>
          <w:sz w:val="23"/>
          <w:szCs w:val="23"/>
        </w:rPr>
        <w:t xml:space="preserve">The hypothesis under test</w:t>
      </w:r>
    </w:p>
    <w:p>
      <w:pPr>
        <w:spacing w:after="60" w:before="60" w:line="300"/>
        <w:jc w:val="left"/>
      </w:pPr>
      <w:r>
        <w:rPr>
          <w:rFonts w:ascii="Calibri" w:cs="Calibri" w:eastAsia="Calibri" w:hAnsi="Calibri"/>
          <w:b w:val="false"/>
          <w:bCs w:val="false"/>
          <w:i w:val="false"/>
          <w:iCs w:val="false"/>
          <w:color w:val="1A1A1A"/>
          <w:sz w:val="22"/>
          <w:szCs w:val="22"/>
        </w:rPr>
        <w:t xml:space="preserve">A well-run lender prices risk consistently — borrowers with similar credit profiles should receive similar interest rates. If variance is high overall AND remains high within each credit band, the bank is not differentiating rate by risk. This is a material finding.</w:t>
      </w:r>
    </w:p>
    <w:p>
      <w:pPr>
        <w:pStyle w:val="Heading3"/>
        <w:spacing w:after="80" w:before="180"/>
      </w:pPr>
      <w:r>
        <w:rPr>
          <w:rFonts w:ascii="Calibri" w:cs="Calibri" w:eastAsia="Calibri" w:hAnsi="Calibri"/>
          <w:b/>
          <w:bCs/>
          <w:color w:val="595959"/>
          <w:sz w:val="23"/>
          <w:szCs w:val="23"/>
        </w:rPr>
        <w:t xml:space="preserve">Overall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Statistic</w:t>
            </w:r>
          </w:p>
        </w:tc>
        <w:tc>
          <w:tcPr>
            <w:tcW w:type="dxa" w:w="58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Value</w:t>
            </w:r>
          </w:p>
        </w:tc>
      </w:tr>
      <w:tr>
        <w:tc>
          <w:tcPr>
            <w:tcW w:type="dxa" w:w="3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Sample size (n)</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45,000 loans</w:t>
            </w:r>
          </w:p>
        </w:tc>
      </w:tr>
      <w:tr>
        <w:tc>
          <w:tcPr>
            <w:tcW w:type="dxa" w:w="3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Mean rate</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11.01%</w:t>
            </w:r>
          </w:p>
        </w:tc>
      </w:tr>
      <w:tr>
        <w:tc>
          <w:tcPr>
            <w:tcW w:type="dxa" w:w="3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Standard deviation</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2.98 percentage points</w:t>
            </w:r>
          </w:p>
        </w:tc>
      </w:tr>
      <w:tr>
        <w:tc>
          <w:tcPr>
            <w:tcW w:type="dxa" w:w="3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Variance</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8.87</w:t>
            </w:r>
          </w:p>
        </w:tc>
      </w:tr>
      <w:tr>
        <w:tc>
          <w:tcPr>
            <w:tcW w:type="dxa" w:w="3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Range</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5.42% to 20.00% (14.58 ppt spread)</w:t>
            </w:r>
          </w:p>
        </w:tc>
      </w:tr>
      <w:tr>
        <w:tc>
          <w:tcPr>
            <w:tcW w:type="dxa" w:w="3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Coefficient of variation</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27.06%</w:t>
            </w:r>
          </w:p>
        </w:tc>
      </w:tr>
    </w:tbl>
    <w:p>
      <w:pPr>
        <w:spacing w:after="60" w:before="60" w:line="300"/>
        <w:jc w:val="left"/>
      </w:pPr>
      <w:r>
        <w:rPr>
          <w:rFonts w:ascii="Calibri" w:cs="Calibri" w:eastAsia="Calibri" w:hAnsi="Calibri"/>
          <w:b w:val="false"/>
          <w:bCs w:val="false"/>
          <w:i w:val="false"/>
          <w:iCs w:val="false"/>
          <w:color w:val="1A1A1A"/>
          <w:sz w:val="22"/>
          <w:szCs w:val="22"/>
        </w:rPr>
        <w:t xml:space="preserve">A coefficient of variation of 27% on a regulated pricing variable is high. But the more revealing test is variance broken down by credit band.</w:t>
      </w:r>
    </w:p>
    <w:p>
      <w:pPr>
        <w:pStyle w:val="Heading3"/>
        <w:spacing w:after="80" w:before="180"/>
      </w:pPr>
      <w:r>
        <w:rPr>
          <w:rFonts w:ascii="Calibri" w:cs="Calibri" w:eastAsia="Calibri" w:hAnsi="Calibri"/>
          <w:b/>
          <w:bCs/>
          <w:color w:val="595959"/>
          <w:sz w:val="23"/>
          <w:szCs w:val="23"/>
        </w:rPr>
        <w:t xml:space="preserve">Variance by credit band — the smoking gun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700"/>
        <w:gridCol w:w="1960"/>
      </w:tblGrid>
      <w:tr>
        <w:trPr>
          <w:tblHeader/>
        </w:trPr>
        <w:tc>
          <w:tcPr>
            <w:tcW w:type="dxa" w:w="23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Credit band</w:t>
            </w:r>
          </w:p>
        </w:tc>
        <w:tc>
          <w:tcPr>
            <w:tcW w:type="dxa" w:w="1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Mean rate</w:t>
            </w:r>
          </w:p>
        </w:tc>
        <w:tc>
          <w:tcPr>
            <w:tcW w:type="dxa" w:w="1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Std dev</w:t>
            </w:r>
          </w:p>
        </w:tc>
        <w:tc>
          <w:tcPr>
            <w:tcW w:type="dxa" w:w="1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Variance</w:t>
            </w:r>
          </w:p>
        </w:tc>
        <w:tc>
          <w:tcPr>
            <w:tcW w:type="dxa" w:w="19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Count</w:t>
            </w:r>
          </w:p>
        </w:tc>
      </w:tr>
      <w:tr>
        <w:tc>
          <w:tcPr>
            <w:tcW w:type="dxa" w:w="23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Poor (&lt;580)</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10.93%</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2.93</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8.60</w:t>
            </w:r>
          </w:p>
        </w:tc>
        <w:tc>
          <w:tcPr>
            <w:tcW w:type="dxa" w:w="19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7,074</w:t>
            </w:r>
          </w:p>
        </w:tc>
      </w:tr>
      <w:tr>
        <w:tc>
          <w:tcPr>
            <w:tcW w:type="dxa" w:w="23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Fair (580–669)</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11.01%</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2.99</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8.92</w:t>
            </w:r>
          </w:p>
        </w:tc>
        <w:tc>
          <w:tcPr>
            <w:tcW w:type="dxa" w:w="19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26,992</w:t>
            </w:r>
          </w:p>
        </w:tc>
      </w:tr>
      <w:tr>
        <w:tc>
          <w:tcPr>
            <w:tcW w:type="dxa" w:w="23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Good (670–739)</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11.04%</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2.99</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8.92</w:t>
            </w:r>
          </w:p>
        </w:tc>
        <w:tc>
          <w:tcPr>
            <w:tcW w:type="dxa" w:w="19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10,846</w:t>
            </w:r>
          </w:p>
        </w:tc>
      </w:tr>
      <w:tr>
        <w:tc>
          <w:tcPr>
            <w:tcW w:type="dxa" w:w="23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Excellent (740+)</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11.08%</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3.09</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9.52</w:t>
            </w:r>
          </w:p>
        </w:tc>
        <w:tc>
          <w:tcPr>
            <w:tcW w:type="dxa" w:w="19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Conclusion: Risk Pricing is NOT Standardized</w:t>
            </w:r>
          </w:p>
          <w:p>
            <w:pPr>
              <w:spacing w:after="0" w:before="0" w:line="300"/>
            </w:pPr>
            <w:r>
              <w:rPr>
                <w:rFonts w:ascii="Calibri" w:cs="Calibri" w:eastAsia="Calibri" w:hAnsi="Calibri"/>
                <w:color w:val="1A1A1A"/>
                <w:sz w:val="22"/>
                <w:szCs w:val="22"/>
              </w:rPr>
              <w:t xml:space="preserve">In a properly risk-priced book, Poor-credit borrowers should receive higher mean rates, and within-band variance should be small (because all borrowers in a band have similar risk). Here we see neither. Mean rates are essentially flat across all four credit bands (10.93% to 11.08% — a 15 basis point range), and within-band variance is consistently around 8.9. This means borrowers' rates are largely uncorrelated with their credit quality — pricing appears to be driven by other factors (loan officer discretion? campaign promotions? channel?). The Risk Committee should commission an underwriting policy review.</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4 — T-Test: Income Difference Between Defaulted and Current Borrowers</w:t>
      </w:r>
    </w:p>
    <w:p>
      <w:pPr>
        <w:pStyle w:val="Heading3"/>
        <w:spacing w:after="80" w:before="180"/>
      </w:pPr>
      <w:r>
        <w:rPr>
          <w:rFonts w:ascii="Calibri" w:cs="Calibri" w:eastAsia="Calibri" w:hAnsi="Calibri"/>
          <w:b/>
          <w:bCs/>
          <w:color w:val="595959"/>
          <w:sz w:val="23"/>
          <w:szCs w:val="23"/>
        </w:rPr>
        <w:t xml:space="preserve">Hypothesis</w:t>
      </w:r>
    </w:p>
    <w:p>
      <w:pPr>
        <w:spacing w:after="60" w:before="60" w:line="300"/>
        <w:jc w:val="left"/>
      </w:pPr>
      <w:r>
        <w:rPr>
          <w:rFonts w:ascii="Calibri" w:cs="Calibri" w:eastAsia="Calibri" w:hAnsi="Calibri"/>
          <w:b/>
          <w:bCs/>
          <w:i w:val="false"/>
          <w:iCs w:val="false"/>
          <w:color w:val="1A1A1A"/>
          <w:sz w:val="22"/>
          <w:szCs w:val="22"/>
        </w:rPr>
        <w:t xml:space="preserve">Null hypothesis (H₀): </w:t>
      </w:r>
      <w:r>
        <w:rPr>
          <w:rFonts w:ascii="Calibri" w:cs="Calibri" w:eastAsia="Calibri" w:hAnsi="Calibri"/>
          <w:b w:val="false"/>
          <w:bCs w:val="false"/>
          <w:i w:val="false"/>
          <w:iCs w:val="false"/>
          <w:color w:val="1A1A1A"/>
          <w:sz w:val="22"/>
          <w:szCs w:val="22"/>
        </w:rPr>
        <w:t xml:space="preserve">Mean income of defaulted borrowers equals mean income of current borrowers.</w:t>
      </w:r>
    </w:p>
    <w:p>
      <w:pPr>
        <w:spacing w:after="60" w:before="60" w:line="300"/>
        <w:jc w:val="left"/>
      </w:pPr>
      <w:r>
        <w:rPr>
          <w:rFonts w:ascii="Calibri" w:cs="Calibri" w:eastAsia="Calibri" w:hAnsi="Calibri"/>
          <w:b/>
          <w:bCs/>
          <w:i w:val="false"/>
          <w:iCs w:val="false"/>
          <w:color w:val="1A1A1A"/>
          <w:sz w:val="22"/>
          <w:szCs w:val="22"/>
        </w:rPr>
        <w:t xml:space="preserve">Alternative (H₁): </w:t>
      </w:r>
      <w:r>
        <w:rPr>
          <w:rFonts w:ascii="Calibri" w:cs="Calibri" w:eastAsia="Calibri" w:hAnsi="Calibri"/>
          <w:b w:val="false"/>
          <w:bCs w:val="false"/>
          <w:i w:val="false"/>
          <w:iCs w:val="false"/>
          <w:color w:val="1A1A1A"/>
          <w:sz w:val="22"/>
          <w:szCs w:val="22"/>
        </w:rPr>
        <w:t xml:space="preserve">The means differ.</w:t>
      </w:r>
    </w:p>
    <w:p>
      <w:pPr>
        <w:spacing w:after="60" w:before="60" w:line="300"/>
        <w:jc w:val="left"/>
      </w:pPr>
      <w:r>
        <w:rPr>
          <w:rFonts w:ascii="Calibri" w:cs="Calibri" w:eastAsia="Calibri" w:hAnsi="Calibri"/>
          <w:b/>
          <w:bCs/>
          <w:i w:val="false"/>
          <w:iCs w:val="false"/>
          <w:color w:val="1A1A1A"/>
          <w:sz w:val="22"/>
          <w:szCs w:val="22"/>
        </w:rPr>
        <w:t xml:space="preserve">Significance level: </w:t>
      </w:r>
      <w:r>
        <w:rPr>
          <w:rFonts w:ascii="Calibri" w:cs="Calibri" w:eastAsia="Calibri" w:hAnsi="Calibri"/>
          <w:b w:val="false"/>
          <w:bCs w:val="false"/>
          <w:i w:val="false"/>
          <w:iCs w:val="false"/>
          <w:color w:val="1A1A1A"/>
          <w:sz w:val="22"/>
          <w:szCs w:val="22"/>
        </w:rPr>
        <w:t xml:space="preserve">α = 0.05</w:t>
      </w:r>
    </w:p>
    <w:p>
      <w:pPr>
        <w:spacing w:after="60" w:before="60" w:line="300"/>
        <w:jc w:val="left"/>
      </w:pPr>
      <w:r>
        <w:rPr>
          <w:rFonts w:ascii="Calibri" w:cs="Calibri" w:eastAsia="Calibri" w:hAnsi="Calibri"/>
          <w:b w:val="false"/>
          <w:bCs w:val="false"/>
          <w:i w:val="false"/>
          <w:iCs w:val="false"/>
          <w:color w:val="1A1A1A"/>
          <w:sz w:val="22"/>
          <w:szCs w:val="22"/>
        </w:rPr>
        <w:t xml:space="preserve">We use Welch's t-test (unequal variances) because the two groups have very different standard deviations ($45,338 vs $87,035), which violates the equal-variance assumption of the standard t-test.</w:t>
      </w:r>
    </w:p>
    <w:p>
      <w:pPr>
        <w:pStyle w:val="Heading3"/>
        <w:spacing w:after="80" w:before="180"/>
      </w:pPr>
      <w:r>
        <w:rPr>
          <w:rFonts w:ascii="Calibri" w:cs="Calibri" w:eastAsia="Calibri" w:hAnsi="Calibri"/>
          <w:b/>
          <w:bCs/>
          <w:color w:val="595959"/>
          <w:sz w:val="23"/>
          <w:szCs w:val="23"/>
        </w:rPr>
        <w:t xml:space="preserve">Group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900"/>
        <w:gridCol w:w="1500"/>
        <w:gridCol w:w="1460"/>
      </w:tblGrid>
      <w:tr>
        <w:trPr>
          <w:tblHeader/>
        </w:trPr>
        <w:tc>
          <w:tcPr>
            <w:tcW w:type="dxa" w:w="3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Group</w:t>
            </w:r>
          </w:p>
        </w:tc>
        <w:tc>
          <w:tcPr>
            <w:tcW w:type="dxa" w:w="1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n</w:t>
            </w:r>
          </w:p>
        </w:tc>
        <w:tc>
          <w:tcPr>
            <w:tcW w:type="dxa" w:w="19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Mean income</w:t>
            </w:r>
          </w:p>
        </w:tc>
        <w:tc>
          <w:tcPr>
            <w:tcW w:type="dxa" w:w="1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Std dev</w:t>
            </w:r>
          </w:p>
        </w:tc>
        <w:tc>
          <w:tcPr>
            <w:tcW w:type="dxa" w:w="14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Median income</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Defaulted (loan_status=1)</w:t>
            </w:r>
          </w:p>
        </w:tc>
        <w:tc>
          <w:tcPr>
            <w:tcW w:type="dxa" w:w="1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10,000</w:t>
            </w:r>
          </w:p>
        </w:tc>
        <w:tc>
          <w:tcPr>
            <w:tcW w:type="dxa" w:w="1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$59,886</w:t>
            </w:r>
          </w:p>
        </w:tc>
        <w:tc>
          <w:tcPr>
            <w:tcW w:type="dxa" w:w="1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$45,338</w:t>
            </w:r>
          </w:p>
        </w:tc>
        <w:tc>
          <w:tcPr>
            <w:tcW w:type="dxa" w:w="1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t>
            </w:r>
          </w:p>
        </w:tc>
      </w:tr>
      <w:tr>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Current (loan_status=0)</w:t>
            </w:r>
          </w:p>
        </w:tc>
        <w:tc>
          <w:tcPr>
            <w:tcW w:type="dxa" w:w="1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35,000</w:t>
            </w:r>
          </w:p>
        </w:tc>
        <w:tc>
          <w:tcPr>
            <w:tcW w:type="dxa" w:w="1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$86,157</w:t>
            </w:r>
          </w:p>
        </w:tc>
        <w:tc>
          <w:tcPr>
            <w:tcW w:type="dxa" w:w="1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$87,035</w:t>
            </w:r>
          </w:p>
        </w:tc>
        <w:tc>
          <w:tcPr>
            <w:tcW w:type="dxa" w:w="14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t>
            </w:r>
          </w:p>
        </w:tc>
      </w:tr>
    </w:tbl>
    <w:p>
      <w:pPr>
        <w:pStyle w:val="Heading3"/>
        <w:spacing w:after="80" w:before="180"/>
      </w:pPr>
      <w:r>
        <w:rPr>
          <w:rFonts w:ascii="Calibri" w:cs="Calibri" w:eastAsia="Calibri" w:hAnsi="Calibri"/>
          <w:b/>
          <w:bCs/>
          <w:color w:val="595959"/>
          <w:sz w:val="23"/>
          <w:szCs w:val="23"/>
        </w:rPr>
        <w:t xml:space="preserve">Test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Statistic</w:t>
            </w:r>
          </w:p>
        </w:tc>
        <w:tc>
          <w:tcPr>
            <w:tcW w:type="dxa" w:w="48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Value</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Difference in means (current − default)</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$26,271</w:t>
            </w:r>
          </w:p>
        </w:tc>
      </w:tr>
      <w:tr>
        <w:tc>
          <w:tcPr>
            <w:tcW w:type="dxa" w:w="4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Welch's t-statistic</w:t>
            </w:r>
          </w:p>
        </w:tc>
        <w:tc>
          <w:tcPr>
            <w:tcW w:type="dxa" w:w="4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−40.4413</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p-value</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&lt; 1 × 10⁻³⁰⁰ (effectively zero)</w:t>
            </w:r>
          </w:p>
        </w:tc>
      </w:tr>
      <w:tr>
        <w:tc>
          <w:tcPr>
            <w:tcW w:type="dxa" w:w="4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95% CI for the difference</w:t>
            </w:r>
          </w:p>
        </w:tc>
        <w:tc>
          <w:tcPr>
            <w:tcW w:type="dxa" w:w="4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($24,998, $27,544)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Reject H₀ — Income is a Significant Predictor of Default</w:t>
            </w:r>
          </w:p>
          <w:p>
            <w:pPr>
              <w:spacing w:after="0" w:before="0" w:line="300"/>
            </w:pPr>
            <w:r>
              <w:rPr>
                <w:rFonts w:ascii="Calibri" w:cs="Calibri" w:eastAsia="Calibri" w:hAnsi="Calibri"/>
                <w:color w:val="1A1A1A"/>
                <w:sz w:val="22"/>
                <w:szCs w:val="22"/>
              </w:rPr>
              <w:t xml:space="preserve">The p-value is far below α = 0.05. Defaulted borrowers earn $26,271 less on average than current borrowers — a substantial and highly significant difference. The 95% confidence interval ($25K to $27.5K) does not include zero, confirming the gap is real. The Risk Committee should ensure income is a primary feature in default prediction models and that income-based stress scenarios are part of every portfolio review.</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5 — DAX Measure for Total Risk Exposure</w:t>
      </w:r>
    </w:p>
    <w:p>
      <w:pPr>
        <w:pStyle w:val="Heading3"/>
        <w:spacing w:after="80" w:before="180"/>
      </w:pPr>
      <w:r>
        <w:rPr>
          <w:rFonts w:ascii="Calibri" w:cs="Calibri" w:eastAsia="Calibri" w:hAnsi="Calibri"/>
          <w:b/>
          <w:bCs/>
          <w:color w:val="595959"/>
          <w:sz w:val="23"/>
          <w:szCs w:val="23"/>
        </w:rPr>
        <w:t xml:space="preserve">Definition</w:t>
      </w:r>
    </w:p>
    <w:p>
      <w:pPr>
        <w:spacing w:after="60" w:before="60" w:line="300"/>
        <w:jc w:val="left"/>
      </w:pPr>
      <w:r>
        <w:rPr>
          <w:rFonts w:ascii="Calibri" w:cs="Calibri" w:eastAsia="Calibri" w:hAnsi="Calibri"/>
          <w:b w:val="false"/>
          <w:bCs w:val="false"/>
          <w:i w:val="false"/>
          <w:iCs w:val="false"/>
          <w:color w:val="1A1A1A"/>
          <w:sz w:val="22"/>
          <w:szCs w:val="22"/>
        </w:rPr>
        <w:t xml:space="preserve">Total Risk Exposure = sum of loan_amnt for all loans where loan_status = 1 (defaulted). This represents the dollar amount currently at risk in the portfolio.</w:t>
      </w:r>
    </w:p>
    <w:p>
      <w:pPr>
        <w:pStyle w:val="Heading3"/>
        <w:spacing w:after="80" w:before="180"/>
      </w:pPr>
      <w:r>
        <w:rPr>
          <w:rFonts w:ascii="Calibri" w:cs="Calibri" w:eastAsia="Calibri" w:hAnsi="Calibri"/>
          <w:b/>
          <w:bCs/>
          <w:color w:val="595959"/>
          <w:sz w:val="23"/>
          <w:szCs w:val="23"/>
        </w:rPr>
        <w:t xml:space="preserve">Validated calculation against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Metric</w:t>
            </w:r>
          </w:p>
        </w:tc>
        <w:tc>
          <w:tcPr>
            <w:tcW w:type="dxa" w:w="48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Value</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Total portfolio value</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$431,242,090</w:t>
            </w:r>
          </w:p>
        </w:tc>
      </w:tr>
      <w:tr>
        <w:tc>
          <w:tcPr>
            <w:tcW w:type="dxa" w:w="4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Total risk exposure (defaulted)</w:t>
            </w:r>
          </w:p>
        </w:tc>
        <w:tc>
          <w:tcPr>
            <w:tcW w:type="dxa" w:w="4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$108,556,898</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Risk exposure as % of portfolio</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25.17%</w:t>
            </w:r>
          </w:p>
        </w:tc>
      </w:tr>
    </w:tbl>
    <w:p>
      <w:pPr>
        <w:pStyle w:val="Heading3"/>
        <w:spacing w:after="80" w:before="180"/>
      </w:pPr>
      <w:r>
        <w:rPr>
          <w:rFonts w:ascii="Calibri" w:cs="Calibri" w:eastAsia="Calibri" w:hAnsi="Calibri"/>
          <w:b/>
          <w:bCs/>
          <w:color w:val="595959"/>
          <w:sz w:val="23"/>
          <w:szCs w:val="23"/>
        </w:rPr>
        <w:t xml:space="preserve">DAX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1F4E79" w:sz="16"/>
              <w:bottom w:val="single" w:color="D0D0D0" w:sz="4"/>
              <w:right w:val="single" w:color="D0D0D0" w:sz="4"/>
            </w:tcBorders>
            <w:shd w:fill="F4F4F4" w:val="clear"/>
            <w:tcMar>
              <w:top w:type="dxa" w:w="160"/>
              <w:left w:type="dxa" w:w="200"/>
              <w:bottom w:type="dxa" w:w="160"/>
              <w:right w:type="dxa" w:w="200"/>
            </w:tcMar>
          </w:tcPr>
          <w:p>
            <w:pPr>
              <w:spacing w:after="80" w:before="0"/>
            </w:pPr>
            <w:r>
              <w:rPr>
                <w:rFonts w:ascii="Calibri" w:cs="Calibri" w:eastAsia="Calibri" w:hAnsi="Calibri"/>
                <w:b/>
                <w:bCs/>
                <w:i/>
                <w:iCs/>
                <w:color w:val="1F4E79"/>
                <w:sz w:val="18"/>
                <w:szCs w:val="18"/>
              </w:rPr>
              <w:t xml:space="preserve">Power BI — DAX</w:t>
            </w:r>
          </w:p>
          <w:p>
            <w:pPr>
              <w:spacing w:after="0" w:before="0" w:line="260"/>
            </w:pPr>
            <w:r>
              <w:rPr>
                <w:rFonts w:ascii="Consolas" w:cs="Consolas" w:eastAsia="Consolas" w:hAnsi="Consolas"/>
                <w:color w:val="1F1F1F"/>
                <w:sz w:val="20"/>
                <w:szCs w:val="20"/>
              </w:rPr>
              <w:t xml:space="preserve">Total Risk Exposure =</w:t>
            </w:r>
          </w:p>
          <w:p>
            <w:pPr>
              <w:spacing w:after="0" w:before="0" w:line="260"/>
            </w:pPr>
            <w:r>
              <w:rPr>
                <w:rFonts w:ascii="Consolas" w:cs="Consolas" w:eastAsia="Consolas" w:hAnsi="Consolas"/>
                <w:color w:val="1F1F1F"/>
                <w:sz w:val="20"/>
                <w:szCs w:val="20"/>
              </w:rPr>
              <w:t xml:space="preserve">    CALCULATE(</w:t>
            </w:r>
          </w:p>
          <w:p>
            <w:pPr>
              <w:spacing w:after="0" w:before="0" w:line="260"/>
            </w:pPr>
            <w:r>
              <w:rPr>
                <w:rFonts w:ascii="Consolas" w:cs="Consolas" w:eastAsia="Consolas" w:hAnsi="Consolas"/>
                <w:color w:val="1F1F1F"/>
                <w:sz w:val="20"/>
                <w:szCs w:val="20"/>
              </w:rPr>
              <w:t xml:space="preserve">        SUM( loans[loan_amnt] ),</w:t>
            </w:r>
          </w:p>
          <w:p>
            <w:pPr>
              <w:spacing w:after="0" w:before="0" w:line="260"/>
            </w:pPr>
            <w:r>
              <w:rPr>
                <w:rFonts w:ascii="Consolas" w:cs="Consolas" w:eastAsia="Consolas" w:hAnsi="Consolas"/>
                <w:color w:val="1F1F1F"/>
                <w:sz w:val="20"/>
                <w:szCs w:val="20"/>
              </w:rPr>
              <w:t xml:space="preserve">        loans[loan_status] = 1</w:t>
            </w:r>
          </w:p>
          <w:p>
            <w:pPr>
              <w:spacing w:after="0" w:before="0" w:line="260"/>
            </w:pPr>
            <w:r>
              <w:rPr>
                <w:rFonts w:ascii="Consolas" w:cs="Consolas" w:eastAsia="Consolas" w:hAnsi="Consolas"/>
                <w:color w:val="1F1F1F"/>
                <w:sz w:val="20"/>
                <w:szCs w:val="20"/>
              </w:rPr>
              <w:t xml:space="preserve">    )</w:t>
            </w:r>
          </w:p>
        </w:tc>
      </w:tr>
    </w:tbl>
    <w:p>
      <w:pPr>
        <w:pStyle w:val="Heading3"/>
        <w:spacing w:after="80" w:before="180"/>
      </w:pPr>
      <w:r>
        <w:rPr>
          <w:rFonts w:ascii="Calibri" w:cs="Calibri" w:eastAsia="Calibri" w:hAnsi="Calibri"/>
          <w:b/>
          <w:bCs/>
          <w:color w:val="595959"/>
          <w:sz w:val="23"/>
          <w:szCs w:val="23"/>
        </w:rPr>
        <w:t xml:space="preserve">Companion measures (recommended for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1F4E79" w:sz="16"/>
              <w:bottom w:val="single" w:color="D0D0D0" w:sz="4"/>
              <w:right w:val="single" w:color="D0D0D0" w:sz="4"/>
            </w:tcBorders>
            <w:shd w:fill="F4F4F4" w:val="clear"/>
            <w:tcMar>
              <w:top w:type="dxa" w:w="160"/>
              <w:left w:type="dxa" w:w="200"/>
              <w:bottom w:type="dxa" w:w="160"/>
              <w:right w:type="dxa" w:w="200"/>
            </w:tcMar>
          </w:tcPr>
          <w:p>
            <w:pPr>
              <w:spacing w:after="80" w:before="0"/>
            </w:pPr>
            <w:r>
              <w:rPr>
                <w:rFonts w:ascii="Calibri" w:cs="Calibri" w:eastAsia="Calibri" w:hAnsi="Calibri"/>
                <w:b/>
                <w:bCs/>
                <w:i/>
                <w:iCs/>
                <w:color w:val="1F4E79"/>
                <w:sz w:val="18"/>
                <w:szCs w:val="18"/>
              </w:rPr>
              <w:t xml:space="preserve">Power BI — DAX (companion measures)</w:t>
            </w:r>
          </w:p>
          <w:p>
            <w:pPr>
              <w:spacing w:after="0" w:before="0" w:line="260"/>
            </w:pPr>
            <w:r>
              <w:rPr>
                <w:rFonts w:ascii="Consolas" w:cs="Consolas" w:eastAsia="Consolas" w:hAnsi="Consolas"/>
                <w:color w:val="1F1F1F"/>
                <w:sz w:val="20"/>
                <w:szCs w:val="20"/>
              </w:rPr>
              <w:t xml:space="preserve">Total Portfolio Value = SUM( loans[loan_amnt] )</w:t>
            </w:r>
          </w:p>
          <w:p>
            <w:pPr>
              <w:spacing w:after="0" w:before="0" w:line="260"/>
            </w:pPr>
            <w:r>
              <w:rPr>
                <w:rFonts w:ascii="Consolas" w:cs="Consolas" w:eastAsia="Consolas" w:hAnsi="Consolas"/>
                <w:color w:val="1F1F1F"/>
                <w:sz w:val="20"/>
                <w:szCs w:val="20"/>
              </w:rPr>
              <w:t xml:space="preserve"> </w:t>
            </w:r>
          </w:p>
          <w:p>
            <w:pPr>
              <w:spacing w:after="0" w:before="0" w:line="260"/>
            </w:pPr>
            <w:r>
              <w:rPr>
                <w:rFonts w:ascii="Consolas" w:cs="Consolas" w:eastAsia="Consolas" w:hAnsi="Consolas"/>
                <w:color w:val="1F1F1F"/>
                <w:sz w:val="20"/>
                <w:szCs w:val="20"/>
              </w:rPr>
              <w:t xml:space="preserve">Risk Exposure % =</w:t>
            </w:r>
          </w:p>
          <w:p>
            <w:pPr>
              <w:spacing w:after="0" w:before="0" w:line="260"/>
            </w:pPr>
            <w:r>
              <w:rPr>
                <w:rFonts w:ascii="Consolas" w:cs="Consolas" w:eastAsia="Consolas" w:hAnsi="Consolas"/>
                <w:color w:val="1F1F1F"/>
                <w:sz w:val="20"/>
                <w:szCs w:val="20"/>
              </w:rPr>
              <w:t xml:space="preserve">    DIVIDE(</w:t>
            </w:r>
          </w:p>
          <w:p>
            <w:pPr>
              <w:spacing w:after="0" w:before="0" w:line="260"/>
            </w:pPr>
            <w:r>
              <w:rPr>
                <w:rFonts w:ascii="Consolas" w:cs="Consolas" w:eastAsia="Consolas" w:hAnsi="Consolas"/>
                <w:color w:val="1F1F1F"/>
                <w:sz w:val="20"/>
                <w:szCs w:val="20"/>
              </w:rPr>
              <w:t xml:space="preserve">        [Total Risk Exposure],</w:t>
            </w:r>
          </w:p>
          <w:p>
            <w:pPr>
              <w:spacing w:after="0" w:before="0" w:line="260"/>
            </w:pPr>
            <w:r>
              <w:rPr>
                <w:rFonts w:ascii="Consolas" w:cs="Consolas" w:eastAsia="Consolas" w:hAnsi="Consolas"/>
                <w:color w:val="1F1F1F"/>
                <w:sz w:val="20"/>
                <w:szCs w:val="20"/>
              </w:rPr>
              <w:t xml:space="preserve">        [Total Portfolio Value],</w:t>
            </w:r>
          </w:p>
          <w:p>
            <w:pPr>
              <w:spacing w:after="0" w:before="0" w:line="260"/>
            </w:pPr>
            <w:r>
              <w:rPr>
                <w:rFonts w:ascii="Consolas" w:cs="Consolas" w:eastAsia="Consolas" w:hAnsi="Consolas"/>
                <w:color w:val="1F1F1F"/>
                <w:sz w:val="20"/>
                <w:szCs w:val="20"/>
              </w:rPr>
              <w:t xml:space="preserve">        0</w:t>
            </w:r>
          </w:p>
          <w:p>
            <w:pPr>
              <w:spacing w:after="0" w:before="0" w:line="260"/>
            </w:pPr>
            <w:r>
              <w:rPr>
                <w:rFonts w:ascii="Consolas" w:cs="Consolas" w:eastAsia="Consolas" w:hAnsi="Consolas"/>
                <w:color w:val="1F1F1F"/>
                <w:sz w:val="20"/>
                <w:szCs w:val="20"/>
              </w:rPr>
              <w:t xml:space="preserve">    )</w:t>
            </w:r>
          </w:p>
          <w:p>
            <w:pPr>
              <w:spacing w:after="0" w:before="0" w:line="260"/>
            </w:pPr>
            <w:r>
              <w:rPr>
                <w:rFonts w:ascii="Consolas" w:cs="Consolas" w:eastAsia="Consolas" w:hAnsi="Consolas"/>
                <w:color w:val="1F1F1F"/>
                <w:sz w:val="20"/>
                <w:szCs w:val="20"/>
              </w:rPr>
              <w:t xml:space="preserve"> </w:t>
            </w:r>
          </w:p>
          <w:p>
            <w:pPr>
              <w:spacing w:after="0" w:before="0" w:line="260"/>
            </w:pPr>
            <w:r>
              <w:rPr>
                <w:rFonts w:ascii="Consolas" w:cs="Consolas" w:eastAsia="Consolas" w:hAnsi="Consolas"/>
                <w:color w:val="1F1F1F"/>
                <w:sz w:val="20"/>
                <w:szCs w:val="20"/>
              </w:rPr>
              <w:t xml:space="preserve">Default Loan Count =</w:t>
            </w:r>
          </w:p>
          <w:p>
            <w:pPr>
              <w:spacing w:after="0" w:before="0" w:line="260"/>
            </w:pPr>
            <w:r>
              <w:rPr>
                <w:rFonts w:ascii="Consolas" w:cs="Consolas" w:eastAsia="Consolas" w:hAnsi="Consolas"/>
                <w:color w:val="1F1F1F"/>
                <w:sz w:val="20"/>
                <w:szCs w:val="20"/>
              </w:rPr>
              <w:t xml:space="preserve">    CALCULATE(</w:t>
            </w:r>
          </w:p>
          <w:p>
            <w:pPr>
              <w:spacing w:after="0" w:before="0" w:line="260"/>
            </w:pPr>
            <w:r>
              <w:rPr>
                <w:rFonts w:ascii="Consolas" w:cs="Consolas" w:eastAsia="Consolas" w:hAnsi="Consolas"/>
                <w:color w:val="1F1F1F"/>
                <w:sz w:val="20"/>
                <w:szCs w:val="20"/>
              </w:rPr>
              <w:t xml:space="preserve">        COUNTROWS( loans ),</w:t>
            </w:r>
          </w:p>
          <w:p>
            <w:pPr>
              <w:spacing w:after="0" w:before="0" w:line="260"/>
            </w:pPr>
            <w:r>
              <w:rPr>
                <w:rFonts w:ascii="Consolas" w:cs="Consolas" w:eastAsia="Consolas" w:hAnsi="Consolas"/>
                <w:color w:val="1F1F1F"/>
                <w:sz w:val="20"/>
                <w:szCs w:val="20"/>
              </w:rPr>
              <w:t xml:space="preserve">        loans[loan_status] = 1</w:t>
            </w:r>
          </w:p>
          <w:p>
            <w:pPr>
              <w:spacing w:after="0" w:before="0" w:line="260"/>
            </w:pPr>
            <w:r>
              <w:rPr>
                <w:rFonts w:ascii="Consolas" w:cs="Consolas" w:eastAsia="Consolas" w:hAnsi="Consolas"/>
                <w:color w:val="1F1F1F"/>
                <w:sz w:val="20"/>
                <w:szCs w:val="20"/>
              </w:rPr>
              <w:t xml:space="preserve">    )</w:t>
            </w:r>
          </w:p>
          <w:p>
            <w:pPr>
              <w:spacing w:after="0" w:before="0" w:line="260"/>
            </w:pPr>
            <w:r>
              <w:rPr>
                <w:rFonts w:ascii="Consolas" w:cs="Consolas" w:eastAsia="Consolas" w:hAnsi="Consolas"/>
                <w:color w:val="1F1F1F"/>
                <w:sz w:val="20"/>
                <w:szCs w:val="20"/>
              </w:rPr>
              <w:t xml:space="preserve"> </w:t>
            </w:r>
          </w:p>
          <w:p>
            <w:pPr>
              <w:spacing w:after="0" w:before="0" w:line="260"/>
            </w:pPr>
            <w:r>
              <w:rPr>
                <w:rFonts w:ascii="Consolas" w:cs="Consolas" w:eastAsia="Consolas" w:hAnsi="Consolas"/>
                <w:color w:val="1F1F1F"/>
                <w:sz w:val="20"/>
                <w:szCs w:val="20"/>
              </w:rPr>
              <w:t xml:space="preserve">Average Defaulted Loan Size =</w:t>
            </w:r>
          </w:p>
          <w:p>
            <w:pPr>
              <w:spacing w:after="0" w:before="0" w:line="260"/>
            </w:pPr>
            <w:r>
              <w:rPr>
                <w:rFonts w:ascii="Consolas" w:cs="Consolas" w:eastAsia="Consolas" w:hAnsi="Consolas"/>
                <w:color w:val="1F1F1F"/>
                <w:sz w:val="20"/>
                <w:szCs w:val="20"/>
              </w:rPr>
              <w:t xml:space="preserve">    DIVIDE(</w:t>
            </w:r>
          </w:p>
          <w:p>
            <w:pPr>
              <w:spacing w:after="0" w:before="0" w:line="260"/>
            </w:pPr>
            <w:r>
              <w:rPr>
                <w:rFonts w:ascii="Consolas" w:cs="Consolas" w:eastAsia="Consolas" w:hAnsi="Consolas"/>
                <w:color w:val="1F1F1F"/>
                <w:sz w:val="20"/>
                <w:szCs w:val="20"/>
              </w:rPr>
              <w:t xml:space="preserve">        [Total Risk Exposure],</w:t>
            </w:r>
          </w:p>
          <w:p>
            <w:pPr>
              <w:spacing w:after="0" w:before="0" w:line="260"/>
            </w:pPr>
            <w:r>
              <w:rPr>
                <w:rFonts w:ascii="Consolas" w:cs="Consolas" w:eastAsia="Consolas" w:hAnsi="Consolas"/>
                <w:color w:val="1F1F1F"/>
                <w:sz w:val="20"/>
                <w:szCs w:val="20"/>
              </w:rPr>
              <w:t xml:space="preserve">        [Default Loan Count]</w:t>
            </w:r>
          </w:p>
          <w:p>
            <w:pPr>
              <w:spacing w:after="0" w:before="0" w:line="260"/>
            </w:pPr>
            <w:r>
              <w:rPr>
                <w:rFonts w:ascii="Consolas" w:cs="Consolas" w:eastAsia="Consolas" w:hAnsi="Consolas"/>
                <w:color w:val="1F1F1F"/>
                <w:sz w:val="20"/>
                <w:szCs w:val="20"/>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Stress Test Implication</w:t>
            </w:r>
          </w:p>
          <w:p>
            <w:pPr>
              <w:spacing w:after="0" w:before="0" w:line="300"/>
            </w:pPr>
            <w:r>
              <w:rPr>
                <w:rFonts w:ascii="Calibri" w:cs="Calibri" w:eastAsia="Calibri" w:hAnsi="Calibri"/>
                <w:color w:val="1A1A1A"/>
                <w:sz w:val="22"/>
                <w:szCs w:val="22"/>
              </w:rPr>
              <w:t xml:space="preserve">$108.6M (25.2% of the $431.2M portfolio) is currently in default — a material exposure that should anchor every risk dashboard tile. Pair this measure with a slicer for loan_intent and credit_score band to surface which segments contribute most to the exposure.</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7 — Scatter Plot: Credit Score vs Loan Amount</w:t>
      </w:r>
    </w:p>
    <w:p>
      <w:pPr>
        <w:pStyle w:val="Heading3"/>
        <w:spacing w:after="80" w:before="180"/>
      </w:pPr>
      <w:r>
        <w:rPr>
          <w:rFonts w:ascii="Calibri" w:cs="Calibri" w:eastAsia="Calibri" w:hAnsi="Calibri"/>
          <w:b/>
          <w:bCs/>
          <w:color w:val="595959"/>
          <w:sz w:val="23"/>
          <w:szCs w:val="23"/>
        </w:rPr>
        <w:t xml:space="preserve">What we're testing</w:t>
      </w:r>
    </w:p>
    <w:p>
      <w:pPr>
        <w:spacing w:after="60" w:before="60" w:line="300"/>
        <w:jc w:val="left"/>
      </w:pPr>
      <w:r>
        <w:rPr>
          <w:rFonts w:ascii="Calibri" w:cs="Calibri" w:eastAsia="Calibri" w:hAnsi="Calibri"/>
          <w:b w:val="false"/>
          <w:bCs w:val="false"/>
          <w:i w:val="false"/>
          <w:iCs w:val="false"/>
          <w:color w:val="1A1A1A"/>
          <w:sz w:val="22"/>
          <w:szCs w:val="22"/>
        </w:rPr>
        <w:t xml:space="preserve">In a well-run book, lower credit scores should generally see smaller loan amounts — the bank should be limiting exposure to risky borrowers. We test this by computing both Pearson (linear) and Spearman (rank) correlations and visualising the relationship.</w:t>
      </w:r>
    </w:p>
    <w:p>
      <w:pPr>
        <w:pStyle w:val="Heading3"/>
        <w:spacing w:after="80" w:before="180"/>
      </w:pPr>
      <w:r>
        <w:rPr>
          <w:rFonts w:ascii="Calibri" w:cs="Calibri" w:eastAsia="Calibri" w:hAnsi="Calibri"/>
          <w:b/>
          <w:bCs/>
          <w:color w:val="595959"/>
          <w:sz w:val="23"/>
          <w:szCs w:val="23"/>
        </w:rPr>
        <w:t xml:space="preserve">Correlation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Measure</w:t>
            </w:r>
          </w:p>
        </w:tc>
        <w:tc>
          <w:tcPr>
            <w:tcW w:type="dxa" w:w="1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Value</w:t>
            </w:r>
          </w:p>
        </w:tc>
        <w:tc>
          <w:tcPr>
            <w:tcW w:type="dxa" w:w="52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Interpretation</w:t>
            </w:r>
          </w:p>
        </w:tc>
      </w:tr>
      <w:tr>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Pearson r</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0.0091</w:t>
            </w:r>
          </w:p>
        </w:tc>
        <w:tc>
          <w:tcPr>
            <w:tcW w:type="dxa" w:w="52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No linear relationship</w:t>
            </w:r>
          </w:p>
        </w:tc>
      </w:tr>
      <w:tr>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Spearman ρ</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0.0065</w:t>
            </w:r>
          </w:p>
        </w:tc>
        <w:tc>
          <w:tcPr>
            <w:tcW w:type="dxa" w:w="52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No monotonic relationship</w:t>
            </w:r>
          </w:p>
        </w:tc>
      </w:tr>
    </w:tbl>
    <w:p>
      <w:pPr>
        <w:pStyle w:val="Heading3"/>
        <w:spacing w:after="80" w:before="180"/>
      </w:pPr>
      <w:r>
        <w:rPr>
          <w:rFonts w:ascii="Calibri" w:cs="Calibri" w:eastAsia="Calibri" w:hAnsi="Calibri"/>
          <w:b/>
          <w:bCs/>
          <w:color w:val="595959"/>
          <w:sz w:val="23"/>
          <w:szCs w:val="23"/>
        </w:rPr>
        <w:t xml:space="preserve">Scatter plot</w:t>
      </w:r>
    </w:p>
    <w:p>
      <w:pPr>
        <w:spacing w:after="120" w:before="12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43300"/>
                    </a:xfrm>
                    <a:prstGeom prst="rect">
                      <a:avLst/>
                    </a:prstGeom>
                  </pic:spPr>
                </pic:pic>
              </a:graphicData>
            </a:graphic>
          </wp:inline>
        </w:drawing>
      </w:r>
    </w:p>
    <w:p>
      <w:pPr>
        <w:spacing w:after="240" w:before="0" w:line="300"/>
        <w:jc w:val="center"/>
      </w:pPr>
      <w:r>
        <w:rPr>
          <w:rFonts w:ascii="Calibri" w:cs="Calibri" w:eastAsia="Calibri" w:hAnsi="Calibri"/>
          <w:b/>
          <w:bCs/>
          <w:i/>
          <w:iCs/>
          <w:color w:val="1A1A1A"/>
          <w:sz w:val="22"/>
          <w:szCs w:val="22"/>
        </w:rPr>
        <w:t xml:space="preserve">Figure 2 — Credit Score vs Loan Amount (5,000-record sample). </w:t>
      </w:r>
      <w:r>
        <w:rPr>
          <w:rFonts w:ascii="Calibri" w:cs="Calibri" w:eastAsia="Calibri" w:hAnsi="Calibri"/>
          <w:b w:val="false"/>
          <w:bCs w:val="false"/>
          <w:i/>
          <w:iCs/>
          <w:color w:val="1A1A1A"/>
          <w:sz w:val="22"/>
          <w:szCs w:val="22"/>
        </w:rPr>
        <w:t xml:space="preserve">Defaulted loans shown in orange, current in blue. The cloud is featureless — there is no pattern relating credit score to loan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Conclusion: Loan Sizing is NOT Credit-Aware</w:t>
            </w:r>
          </w:p>
          <w:p>
            <w:pPr>
              <w:spacing w:after="0" w:before="0" w:line="300"/>
            </w:pPr>
            <w:r>
              <w:rPr>
                <w:rFonts w:ascii="Calibri" w:cs="Calibri" w:eastAsia="Calibri" w:hAnsi="Calibri"/>
                <w:color w:val="1A1A1A"/>
                <w:sz w:val="22"/>
                <w:szCs w:val="22"/>
              </w:rPr>
              <w:t xml:space="preserve">Pearson r of 0.009 means borrowers with credit scores of 400 receive loan amounts statistically indistinguishable from borrowers with scores of 800. Combined with the Q3 finding (rates also flat across credit bands), this is the second pricing anomaly we've identified. Together they paint a concerning picture: the bank is using its credit signal to neither price nor size the credit it extends. This warrants an immediate underwriting policy review by the Risk Committee.</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8 — Confidence Interval for Portfolio Default Rate</w:t>
      </w:r>
    </w:p>
    <w:p>
      <w:pPr>
        <w:pStyle w:val="Heading3"/>
        <w:spacing w:after="80" w:before="180"/>
      </w:pPr>
      <w:r>
        <w:rPr>
          <w:rFonts w:ascii="Calibri" w:cs="Calibri" w:eastAsia="Calibri" w:hAnsi="Calibri"/>
          <w:b/>
          <w:bCs/>
          <w:color w:val="595959"/>
          <w:sz w:val="23"/>
          <w:szCs w:val="23"/>
        </w:rPr>
        <w:t xml:space="preserve">Scenario</w:t>
      </w:r>
    </w:p>
    <w:p>
      <w:pPr>
        <w:spacing w:after="60" w:before="60" w:line="300"/>
        <w:jc w:val="left"/>
      </w:pPr>
      <w:r>
        <w:rPr>
          <w:rFonts w:ascii="Calibri" w:cs="Calibri" w:eastAsia="Calibri" w:hAnsi="Calibri"/>
          <w:b w:val="false"/>
          <w:bCs w:val="false"/>
          <w:i w:val="false"/>
          <w:iCs w:val="false"/>
          <w:color w:val="1A1A1A"/>
          <w:sz w:val="22"/>
          <w:szCs w:val="22"/>
        </w:rPr>
        <w:t xml:space="preserve">The bank samples 500 loans and observes a 4% default rate. We must estimate the true default rate of the full 100,000-loan portfolio.</w:t>
      </w:r>
    </w:p>
    <w:p>
      <w:pPr>
        <w:pStyle w:val="Heading3"/>
        <w:spacing w:after="80" w:before="180"/>
      </w:pPr>
      <w:r>
        <w:rPr>
          <w:rFonts w:ascii="Calibri" w:cs="Calibri" w:eastAsia="Calibri" w:hAnsi="Calibri"/>
          <w:b/>
          <w:bCs/>
          <w:color w:val="595959"/>
          <w:sz w:val="23"/>
          <w:szCs w:val="23"/>
        </w:rPr>
        <w:t xml:space="preserve">Method</w:t>
      </w:r>
    </w:p>
    <w:p>
      <w:pPr>
        <w:spacing w:after="60" w:before="60" w:line="300"/>
        <w:jc w:val="left"/>
      </w:pPr>
      <w:r>
        <w:rPr>
          <w:rFonts w:ascii="Calibri" w:cs="Calibri" w:eastAsia="Calibri" w:hAnsi="Calibri"/>
          <w:b w:val="false"/>
          <w:bCs w:val="false"/>
          <w:i w:val="false"/>
          <w:iCs w:val="false"/>
          <w:color w:val="1A1A1A"/>
          <w:sz w:val="22"/>
          <w:szCs w:val="22"/>
        </w:rPr>
        <w:t xml:space="preserve">95% confidence interval for a population proportion using the normal approximation:</w:t>
      </w:r>
    </w:p>
    <w:p>
      <w:pPr>
        <w:spacing w:after="80" w:before="80" w:line="300"/>
        <w:jc w:val="center"/>
      </w:pPr>
      <w:r>
        <w:rPr>
          <w:rFonts w:ascii="Calibri" w:cs="Calibri" w:eastAsia="Calibri" w:hAnsi="Calibri"/>
          <w:b/>
          <w:bCs/>
          <w:i w:val="false"/>
          <w:iCs w:val="false"/>
          <w:color w:val="1A1A1A"/>
          <w:sz w:val="22"/>
          <w:szCs w:val="22"/>
        </w:rPr>
        <w:t xml:space="preserve">CI = p̂ ± z</w:t>
      </w:r>
      <w:r>
        <w:rPr>
          <w:rFonts w:ascii="Calibri" w:cs="Calibri" w:eastAsia="Calibri" w:hAnsi="Calibri"/>
          <w:b w:val="false"/>
          <w:bCs w:val="false"/>
          <w:i w:val="false"/>
          <w:iCs w:val="false"/>
          <w:color w:val="1A1A1A"/>
          <w:sz w:val="16"/>
          <w:szCs w:val="16"/>
        </w:rPr>
        <w:t xml:space="preserve">(α/2)</w:t>
      </w:r>
      <w:r>
        <w:rPr>
          <w:rFonts w:ascii="Calibri" w:cs="Calibri" w:eastAsia="Calibri" w:hAnsi="Calibri"/>
          <w:b/>
          <w:bCs/>
          <w:i w:val="false"/>
          <w:iCs w:val="false"/>
          <w:color w:val="1A1A1A"/>
          <w:sz w:val="22"/>
          <w:szCs w:val="22"/>
        </w:rPr>
        <w:t xml:space="preserve"> × √(p̂(1−p̂)/n)</w:t>
      </w:r>
    </w:p>
    <w:p>
      <w:pPr>
        <w:spacing w:after="60" w:before="60" w:line="300"/>
        <w:jc w:val="left"/>
      </w:pPr>
      <w:r>
        <w:rPr>
          <w:rFonts w:ascii="Calibri" w:cs="Calibri" w:eastAsia="Calibri" w:hAnsi="Calibri"/>
          <w:b w:val="false"/>
          <w:bCs w:val="false"/>
          <w:i w:val="false"/>
          <w:iCs w:val="false"/>
          <w:color w:val="1A1A1A"/>
          <w:sz w:val="22"/>
          <w:szCs w:val="22"/>
        </w:rPr>
        <w:t xml:space="preserve">The normal approximation is valid here because n × p̂ = 500 × 0.04 = 20 ≥ 5 and n × (1−p̂) = 480 ≥ 5.</w:t>
      </w:r>
    </w:p>
    <w:p>
      <w:pPr>
        <w:pStyle w:val="Heading3"/>
        <w:spacing w:after="80" w:before="180"/>
      </w:pPr>
      <w:r>
        <w:rPr>
          <w:rFonts w:ascii="Calibri" w:cs="Calibri" w:eastAsia="Calibri" w:hAnsi="Calibri"/>
          <w:b/>
          <w:bCs/>
          <w:color w:val="595959"/>
          <w:sz w:val="23"/>
          <w:szCs w:val="23"/>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Quantity</w:t>
            </w:r>
          </w:p>
        </w:tc>
        <w:tc>
          <w:tcPr>
            <w:tcW w:type="dxa" w:w="53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Value</w:t>
            </w:r>
          </w:p>
        </w:tc>
      </w:tr>
      <w:tr>
        <w:tc>
          <w:tcPr>
            <w:tcW w:type="dxa" w:w="4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Sample size (n)</w:t>
            </w:r>
          </w:p>
        </w:tc>
        <w:tc>
          <w:tcPr>
            <w:tcW w:type="dxa" w:w="53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500</w:t>
            </w:r>
          </w:p>
        </w:tc>
      </w:tr>
      <w:tr>
        <w:tc>
          <w:tcPr>
            <w:tcW w:type="dxa" w:w="4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Sample proportion (p̂)</w:t>
            </w:r>
          </w:p>
        </w:tc>
        <w:tc>
          <w:tcPr>
            <w:tcW w:type="dxa" w:w="53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0.04 (4%)</w:t>
            </w:r>
          </w:p>
        </w:tc>
      </w:tr>
      <w:tr>
        <w:tc>
          <w:tcPr>
            <w:tcW w:type="dxa" w:w="4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z-critical at 95% (two-tailed)</w:t>
            </w:r>
          </w:p>
        </w:tc>
        <w:tc>
          <w:tcPr>
            <w:tcW w:type="dxa" w:w="53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1.96</w:t>
            </w:r>
          </w:p>
        </w:tc>
      </w:tr>
      <w:tr>
        <w:tc>
          <w:tcPr>
            <w:tcW w:type="dxa" w:w="4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Standard error</w:t>
            </w:r>
          </w:p>
        </w:tc>
        <w:tc>
          <w:tcPr>
            <w:tcW w:type="dxa" w:w="53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√(0.04 × 0.96 / 500) = 0.008764</w:t>
            </w:r>
          </w:p>
        </w:tc>
      </w:tr>
      <w:tr>
        <w:tc>
          <w:tcPr>
            <w:tcW w:type="dxa" w:w="4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Margin of error</w:t>
            </w:r>
          </w:p>
        </w:tc>
        <w:tc>
          <w:tcPr>
            <w:tcW w:type="dxa" w:w="53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1.96 × 0.008764 = 0.01718 (±1.72 ppt)</w:t>
            </w:r>
          </w:p>
        </w:tc>
      </w:tr>
      <w:tr>
        <w:tc>
          <w:tcPr>
            <w:tcW w:type="dxa" w:w="4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95% Confidence interval (rate)</w:t>
            </w:r>
          </w:p>
        </w:tc>
        <w:tc>
          <w:tcPr>
            <w:tcW w:type="dxa" w:w="53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(2.28%, 5.72%)</w:t>
            </w:r>
          </w:p>
        </w:tc>
      </w:tr>
      <w:tr>
        <w:tc>
          <w:tcPr>
            <w:tcW w:type="dxa" w:w="4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Applied to 100,000-loan portfolio</w:t>
            </w:r>
          </w:p>
        </w:tc>
        <w:tc>
          <w:tcPr>
            <w:tcW w:type="dxa" w:w="53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2,282 to 5,718 expected defaults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Estimate for the Risk Committee</w:t>
            </w:r>
          </w:p>
          <w:p>
            <w:pPr>
              <w:spacing w:after="0" w:before="0" w:line="300"/>
            </w:pPr>
            <w:r>
              <w:rPr>
                <w:rFonts w:ascii="Calibri" w:cs="Calibri" w:eastAsia="Calibri" w:hAnsi="Calibri"/>
                <w:color w:val="1A1A1A"/>
                <w:sz w:val="22"/>
                <w:szCs w:val="22"/>
              </w:rPr>
              <w:t xml:space="preserve">We are 95% confident the true portfolio default rate falls between 2.28% and 5.72%, implying somewhere between roughly 2,300 and 5,700 defaults across the 100,000 loans. The interval is wide (±1.7 ppt) — the upper bound is 2.5× the lower bound. To halve the margin, the sample would need to quadruple to 2,000 loans (since margin shrinks with √n). For board-level stress tests, recommend either (a) a larger sample, or (b) full-population computation from the warehouse.</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12 — Primary and Foreign Keys: Loan Application ↔ Credit Bureau History</w:t>
      </w:r>
    </w:p>
    <w:p>
      <w:pPr>
        <w:pStyle w:val="Heading3"/>
        <w:spacing w:after="80" w:before="180"/>
      </w:pPr>
      <w:r>
        <w:rPr>
          <w:rFonts w:ascii="Calibri" w:cs="Calibri" w:eastAsia="Calibri" w:hAnsi="Calibri"/>
          <w:b/>
          <w:bCs/>
          <w:color w:val="595959"/>
          <w:sz w:val="23"/>
          <w:szCs w:val="23"/>
        </w:rPr>
        <w:t xml:space="preserve">Conceptual schema</w:t>
      </w:r>
    </w:p>
    <w:p>
      <w:pPr>
        <w:spacing w:after="60" w:before="60" w:line="300"/>
        <w:jc w:val="left"/>
      </w:pPr>
      <w:r>
        <w:rPr>
          <w:rFonts w:ascii="Calibri" w:cs="Calibri" w:eastAsia="Calibri" w:hAnsi="Calibri"/>
          <w:b w:val="false"/>
          <w:bCs w:val="false"/>
          <w:i w:val="false"/>
          <w:iCs w:val="false"/>
          <w:color w:val="1A1A1A"/>
          <w:sz w:val="22"/>
          <w:szCs w:val="22"/>
        </w:rPr>
        <w:t xml:space="preserve">Two tables that need to be joined for risk analysis. Both share borrower_id as a foreign key referencing a master borrowers table.</w:t>
      </w:r>
    </w:p>
    <w:p>
      <w:pPr>
        <w:pStyle w:val="Heading3"/>
        <w:spacing w:after="80" w:before="180"/>
      </w:pPr>
      <w:r>
        <w:rPr>
          <w:rFonts w:ascii="Calibri" w:cs="Calibri" w:eastAsia="Calibri" w:hAnsi="Calibri"/>
          <w:b/>
          <w:bCs/>
          <w:color w:val="595959"/>
          <w:sz w:val="23"/>
          <w:szCs w:val="23"/>
        </w:rPr>
        <w:t xml:space="preserve">Table 1 — loan_applications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Column</w:t>
            </w:r>
          </w:p>
        </w:tc>
        <w:tc>
          <w:tcPr>
            <w:tcW w:type="dxa" w:w="19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Role</w:t>
            </w:r>
          </w:p>
        </w:tc>
        <w:tc>
          <w:tcPr>
            <w:tcW w:type="dxa" w:w="50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Notes</w:t>
            </w:r>
          </w:p>
        </w:tc>
      </w:tr>
      <w:tr>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application_id</w:t>
            </w:r>
          </w:p>
        </w:tc>
        <w:tc>
          <w:tcPr>
            <w:tcW w:type="dxa" w:w="1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PRIMARY KEY</w:t>
            </w:r>
          </w:p>
        </w:tc>
        <w:tc>
          <w:tcPr>
            <w:tcW w:type="dxa" w:w="50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Surrogate key, unique per application (e.g., APP-000001)</w:t>
            </w:r>
          </w:p>
        </w:tc>
      </w:tr>
      <w:tr>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borrower_id</w:t>
            </w:r>
          </w:p>
        </w:tc>
        <w:tc>
          <w:tcPr>
            <w:tcW w:type="dxa" w:w="1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FOREIGN KEY</w:t>
            </w:r>
          </w:p>
        </w:tc>
        <w:tc>
          <w:tcPr>
            <w:tcW w:type="dxa" w:w="50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References borrowers(borrower_id)</w:t>
            </w:r>
          </w:p>
        </w:tc>
      </w:tr>
      <w:tr>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application_date</w:t>
            </w:r>
          </w:p>
        </w:tc>
        <w:tc>
          <w:tcPr>
            <w:tcW w:type="dxa" w:w="1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Attribute</w:t>
            </w:r>
          </w:p>
        </w:tc>
        <w:tc>
          <w:tcPr>
            <w:tcW w:type="dxa" w:w="50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When the application was submitted</w:t>
            </w:r>
          </w:p>
        </w:tc>
      </w:tr>
      <w:tr>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loan_amnt</w:t>
            </w:r>
          </w:p>
        </w:tc>
        <w:tc>
          <w:tcPr>
            <w:tcW w:type="dxa" w:w="1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Attribute</w:t>
            </w:r>
          </w:p>
        </w:tc>
        <w:tc>
          <w:tcPr>
            <w:tcW w:type="dxa" w:w="50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Requested amount</w:t>
            </w:r>
          </w:p>
        </w:tc>
      </w:tr>
      <w:tr>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loan_intent</w:t>
            </w:r>
          </w:p>
        </w:tc>
        <w:tc>
          <w:tcPr>
            <w:tcW w:type="dxa" w:w="1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Attribute</w:t>
            </w:r>
          </w:p>
        </w:tc>
        <w:tc>
          <w:tcPr>
            <w:tcW w:type="dxa" w:w="50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Purpose of the loan</w:t>
            </w:r>
          </w:p>
        </w:tc>
      </w:tr>
      <w:tr>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loan_status</w:t>
            </w:r>
          </w:p>
        </w:tc>
        <w:tc>
          <w:tcPr>
            <w:tcW w:type="dxa" w:w="1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Attribute</w:t>
            </w:r>
          </w:p>
        </w:tc>
        <w:tc>
          <w:tcPr>
            <w:tcW w:type="dxa" w:w="50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Approved / Rejected / Pending</w:t>
            </w:r>
          </w:p>
        </w:tc>
      </w:tr>
    </w:tbl>
    <w:p>
      <w:pPr>
        <w:pStyle w:val="Heading3"/>
        <w:spacing w:after="80" w:before="180"/>
      </w:pPr>
      <w:r>
        <w:rPr>
          <w:rFonts w:ascii="Calibri" w:cs="Calibri" w:eastAsia="Calibri" w:hAnsi="Calibri"/>
          <w:b/>
          <w:bCs/>
          <w:color w:val="595959"/>
          <w:sz w:val="23"/>
          <w:szCs w:val="23"/>
        </w:rPr>
        <w:t xml:space="preserve">Table 2 — credit_bureau_history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260"/>
      </w:tblGrid>
      <w:tr>
        <w:trPr>
          <w:tblHeader/>
        </w:trPr>
        <w:tc>
          <w:tcPr>
            <w:tcW w:type="dxa" w:w="3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Column</w:t>
            </w:r>
          </w:p>
        </w:tc>
        <w:tc>
          <w:tcPr>
            <w:tcW w:type="dxa" w:w="19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Role</w:t>
            </w:r>
          </w:p>
        </w:tc>
        <w:tc>
          <w:tcPr>
            <w:tcW w:type="dxa" w:w="42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Notes</w:t>
            </w:r>
          </w:p>
        </w:tc>
      </w:tr>
      <w:tr>
        <w:tc>
          <w:tcPr>
            <w:tcW w:type="dxa" w:w="3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bureau_record_id</w:t>
            </w:r>
          </w:p>
        </w:tc>
        <w:tc>
          <w:tcPr>
            <w:tcW w:type="dxa" w:w="1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PRIMARY KEY</w:t>
            </w:r>
          </w:p>
        </w:tc>
        <w:tc>
          <w:tcPr>
            <w:tcW w:type="dxa" w:w="42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Surrogate key — one borrower has many pulls over time</w:t>
            </w:r>
          </w:p>
        </w:tc>
      </w:tr>
      <w:tr>
        <w:tc>
          <w:tcPr>
            <w:tcW w:type="dxa" w:w="3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borrower_id</w:t>
            </w:r>
          </w:p>
        </w:tc>
        <w:tc>
          <w:tcPr>
            <w:tcW w:type="dxa" w:w="1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FOREIGN KEY</w:t>
            </w:r>
          </w:p>
        </w:tc>
        <w:tc>
          <w:tcPr>
            <w:tcW w:type="dxa" w:w="42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References borrowers(borrower_id)</w:t>
            </w:r>
          </w:p>
        </w:tc>
      </w:tr>
      <w:tr>
        <w:tc>
          <w:tcPr>
            <w:tcW w:type="dxa" w:w="3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pull_date</w:t>
            </w:r>
          </w:p>
        </w:tc>
        <w:tc>
          <w:tcPr>
            <w:tcW w:type="dxa" w:w="1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Attribute</w:t>
            </w:r>
          </w:p>
        </w:tc>
        <w:tc>
          <w:tcPr>
            <w:tcW w:type="dxa" w:w="42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When the bureau report was retrieved</w:t>
            </w:r>
          </w:p>
        </w:tc>
      </w:tr>
      <w:tr>
        <w:tc>
          <w:tcPr>
            <w:tcW w:type="dxa" w:w="3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credit_score</w:t>
            </w:r>
          </w:p>
        </w:tc>
        <w:tc>
          <w:tcPr>
            <w:tcW w:type="dxa" w:w="1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Attribute</w:t>
            </w:r>
          </w:p>
        </w:tc>
        <w:tc>
          <w:tcPr>
            <w:tcW w:type="dxa" w:w="42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FICO/equivalent at pull time</w:t>
            </w:r>
          </w:p>
        </w:tc>
      </w:tr>
      <w:tr>
        <w:tc>
          <w:tcPr>
            <w:tcW w:type="dxa" w:w="3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cb_person_cred_hist_length</w:t>
            </w:r>
          </w:p>
        </w:tc>
        <w:tc>
          <w:tcPr>
            <w:tcW w:type="dxa" w:w="1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Attribute</w:t>
            </w:r>
          </w:p>
        </w:tc>
        <w:tc>
          <w:tcPr>
            <w:tcW w:type="dxa" w:w="42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Years of credit history</w:t>
            </w:r>
          </w:p>
        </w:tc>
      </w:tr>
      <w:tr>
        <w:tc>
          <w:tcPr>
            <w:tcW w:type="dxa" w:w="3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previous_loan_defaults_on_file</w:t>
            </w:r>
          </w:p>
        </w:tc>
        <w:tc>
          <w:tcPr>
            <w:tcW w:type="dxa" w:w="1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Attribute</w:t>
            </w:r>
          </w:p>
        </w:tc>
        <w:tc>
          <w:tcPr>
            <w:tcW w:type="dxa" w:w="42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Y/N flag</w:t>
            </w:r>
          </w:p>
        </w:tc>
      </w:tr>
    </w:tbl>
    <w:p>
      <w:pPr>
        <w:pStyle w:val="Heading3"/>
        <w:spacing w:after="80" w:before="180"/>
      </w:pPr>
      <w:r>
        <w:rPr>
          <w:rFonts w:ascii="Calibri" w:cs="Calibri" w:eastAsia="Calibri" w:hAnsi="Calibri"/>
          <w:b/>
          <w:bCs/>
          <w:color w:val="595959"/>
          <w:sz w:val="23"/>
          <w:szCs w:val="23"/>
        </w:rPr>
        <w:t xml:space="preserve">Joining the two — using the credit score available at the time of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1F4E79" w:sz="16"/>
              <w:bottom w:val="single" w:color="D0D0D0" w:sz="4"/>
              <w:right w:val="single" w:color="D0D0D0" w:sz="4"/>
            </w:tcBorders>
            <w:shd w:fill="F4F4F4" w:val="clear"/>
            <w:tcMar>
              <w:top w:type="dxa" w:w="160"/>
              <w:left w:type="dxa" w:w="200"/>
              <w:bottom w:type="dxa" w:w="160"/>
              <w:right w:type="dxa" w:w="200"/>
            </w:tcMar>
          </w:tcPr>
          <w:p>
            <w:pPr>
              <w:spacing w:after="80" w:before="0"/>
            </w:pPr>
            <w:r>
              <w:rPr>
                <w:rFonts w:ascii="Calibri" w:cs="Calibri" w:eastAsia="Calibri" w:hAnsi="Calibri"/>
                <w:b/>
                <w:bCs/>
                <w:i/>
                <w:iCs/>
                <w:color w:val="1F4E79"/>
                <w:sz w:val="18"/>
                <w:szCs w:val="18"/>
              </w:rPr>
              <w:t xml:space="preserve">SQL — Point-in-time join</w:t>
            </w:r>
          </w:p>
          <w:p>
            <w:pPr>
              <w:spacing w:after="0" w:before="0" w:line="260"/>
            </w:pPr>
            <w:r>
              <w:rPr>
                <w:rFonts w:ascii="Consolas" w:cs="Consolas" w:eastAsia="Consolas" w:hAnsi="Consolas"/>
                <w:color w:val="1F1F1F"/>
                <w:sz w:val="20"/>
                <w:szCs w:val="20"/>
              </w:rPr>
              <w:t xml:space="preserve">SELECT</w:t>
            </w:r>
          </w:p>
          <w:p>
            <w:pPr>
              <w:spacing w:after="0" w:before="0" w:line="260"/>
            </w:pPr>
            <w:r>
              <w:rPr>
                <w:rFonts w:ascii="Consolas" w:cs="Consolas" w:eastAsia="Consolas" w:hAnsi="Consolas"/>
                <w:color w:val="1F1F1F"/>
                <w:sz w:val="20"/>
                <w:szCs w:val="20"/>
              </w:rPr>
              <w:t xml:space="preserve">    la.application_id,</w:t>
            </w:r>
          </w:p>
          <w:p>
            <w:pPr>
              <w:spacing w:after="0" w:before="0" w:line="260"/>
            </w:pPr>
            <w:r>
              <w:rPr>
                <w:rFonts w:ascii="Consolas" w:cs="Consolas" w:eastAsia="Consolas" w:hAnsi="Consolas"/>
                <w:color w:val="1F1F1F"/>
                <w:sz w:val="20"/>
                <w:szCs w:val="20"/>
              </w:rPr>
              <w:t xml:space="preserve">    la.loan_amnt,</w:t>
            </w:r>
          </w:p>
          <w:p>
            <w:pPr>
              <w:spacing w:after="0" w:before="0" w:line="260"/>
            </w:pPr>
            <w:r>
              <w:rPr>
                <w:rFonts w:ascii="Consolas" w:cs="Consolas" w:eastAsia="Consolas" w:hAnsi="Consolas"/>
                <w:color w:val="1F1F1F"/>
                <w:sz w:val="20"/>
                <w:szCs w:val="20"/>
              </w:rPr>
              <w:t xml:space="preserve">    cb.credit_score,</w:t>
            </w:r>
          </w:p>
          <w:p>
            <w:pPr>
              <w:spacing w:after="0" w:before="0" w:line="260"/>
            </w:pPr>
            <w:r>
              <w:rPr>
                <w:rFonts w:ascii="Consolas" w:cs="Consolas" w:eastAsia="Consolas" w:hAnsi="Consolas"/>
                <w:color w:val="1F1F1F"/>
                <w:sz w:val="20"/>
                <w:szCs w:val="20"/>
              </w:rPr>
              <w:t xml:space="preserve">    cb.previous_loan_defaults_on_file</w:t>
            </w:r>
          </w:p>
          <w:p>
            <w:pPr>
              <w:spacing w:after="0" w:before="0" w:line="260"/>
            </w:pPr>
            <w:r>
              <w:rPr>
                <w:rFonts w:ascii="Consolas" w:cs="Consolas" w:eastAsia="Consolas" w:hAnsi="Consolas"/>
                <w:color w:val="1F1F1F"/>
                <w:sz w:val="20"/>
                <w:szCs w:val="20"/>
              </w:rPr>
              <w:t xml:space="preserve">FROM loan_applications la</w:t>
            </w:r>
          </w:p>
          <w:p>
            <w:pPr>
              <w:spacing w:after="0" w:before="0" w:line="260"/>
            </w:pPr>
            <w:r>
              <w:rPr>
                <w:rFonts w:ascii="Consolas" w:cs="Consolas" w:eastAsia="Consolas" w:hAnsi="Consolas"/>
                <w:color w:val="1F1F1F"/>
                <w:sz w:val="20"/>
                <w:szCs w:val="20"/>
              </w:rPr>
              <w:t xml:space="preserve">JOIN credit_bureau_history cb</w:t>
            </w:r>
          </w:p>
          <w:p>
            <w:pPr>
              <w:spacing w:after="0" w:before="0" w:line="260"/>
            </w:pPr>
            <w:r>
              <w:rPr>
                <w:rFonts w:ascii="Consolas" w:cs="Consolas" w:eastAsia="Consolas" w:hAnsi="Consolas"/>
                <w:color w:val="1F1F1F"/>
                <w:sz w:val="20"/>
                <w:szCs w:val="20"/>
              </w:rPr>
              <w:t xml:space="preserve">    ON la.borrower_id = cb.borrower_id</w:t>
            </w:r>
          </w:p>
          <w:p>
            <w:pPr>
              <w:spacing w:after="0" w:before="0" w:line="260"/>
            </w:pPr>
            <w:r>
              <w:rPr>
                <w:rFonts w:ascii="Consolas" w:cs="Consolas" w:eastAsia="Consolas" w:hAnsi="Consolas"/>
                <w:color w:val="1F1F1F"/>
                <w:sz w:val="20"/>
                <w:szCs w:val="20"/>
              </w:rPr>
              <w:t xml:space="preserve">   AND cb.pull_date = (</w:t>
            </w:r>
          </w:p>
          <w:p>
            <w:pPr>
              <w:spacing w:after="0" w:before="0" w:line="260"/>
            </w:pPr>
            <w:r>
              <w:rPr>
                <w:rFonts w:ascii="Consolas" w:cs="Consolas" w:eastAsia="Consolas" w:hAnsi="Consolas"/>
                <w:color w:val="1F1F1F"/>
                <w:sz w:val="20"/>
                <w:szCs w:val="20"/>
              </w:rPr>
              <w:t xml:space="preserve">       SELECT MAX(pull_date)</w:t>
            </w:r>
          </w:p>
          <w:p>
            <w:pPr>
              <w:spacing w:after="0" w:before="0" w:line="260"/>
            </w:pPr>
            <w:r>
              <w:rPr>
                <w:rFonts w:ascii="Consolas" w:cs="Consolas" w:eastAsia="Consolas" w:hAnsi="Consolas"/>
                <w:color w:val="1F1F1F"/>
                <w:sz w:val="20"/>
                <w:szCs w:val="20"/>
              </w:rPr>
              <w:t xml:space="preserve">       FROM credit_bureau_history cb2</w:t>
            </w:r>
          </w:p>
          <w:p>
            <w:pPr>
              <w:spacing w:after="0" w:before="0" w:line="260"/>
            </w:pPr>
            <w:r>
              <w:rPr>
                <w:rFonts w:ascii="Consolas" w:cs="Consolas" w:eastAsia="Consolas" w:hAnsi="Consolas"/>
                <w:color w:val="1F1F1F"/>
                <w:sz w:val="20"/>
                <w:szCs w:val="20"/>
              </w:rPr>
              <w:t xml:space="preserve">       WHERE cb2.borrower_id = la.borrower_id</w:t>
            </w:r>
          </w:p>
          <w:p>
            <w:pPr>
              <w:spacing w:after="0" w:before="0" w:line="260"/>
            </w:pPr>
            <w:r>
              <w:rPr>
                <w:rFonts w:ascii="Consolas" w:cs="Consolas" w:eastAsia="Consolas" w:hAnsi="Consolas"/>
                <w:color w:val="1F1F1F"/>
                <w:sz w:val="20"/>
                <w:szCs w:val="20"/>
              </w:rPr>
              <w:t xml:space="preserve">         AND cb2.pull_date &lt;= la.application_date</w:t>
            </w:r>
          </w:p>
          <w:p>
            <w:pPr>
              <w:spacing w:after="0" w:before="0" w:line="260"/>
            </w:pPr>
            <w:r>
              <w:rPr>
                <w:rFonts w:ascii="Consolas" w:cs="Consolas" w:eastAsia="Consolas" w:hAnsi="Consolas"/>
                <w:color w:val="1F1F1F"/>
                <w:sz w:val="20"/>
                <w:szCs w:val="20"/>
              </w:rPr>
              <w:t xml:space="preserve">   );</w:t>
            </w:r>
          </w:p>
        </w:tc>
      </w:tr>
    </w:tbl>
    <w:p>
      <w:pPr>
        <w:pStyle w:val="Heading3"/>
        <w:spacing w:after="80" w:before="180"/>
      </w:pPr>
      <w:r>
        <w:rPr>
          <w:rFonts w:ascii="Calibri" w:cs="Calibri" w:eastAsia="Calibri" w:hAnsi="Calibri"/>
          <w:b/>
          <w:bCs/>
          <w:color w:val="595959"/>
          <w:sz w:val="23"/>
          <w:szCs w:val="23"/>
        </w:rPr>
        <w:t xml:space="preserve">Key design decisions</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Why surrogate keys (application_id, bureau_record_id) instead of natural keys? </w:t>
      </w:r>
      <w:r>
        <w:rPr>
          <w:rFonts w:ascii="Calibri" w:cs="Calibri" w:eastAsia="Calibri" w:hAnsi="Calibri"/>
          <w:b w:val="false"/>
          <w:bCs w:val="false"/>
          <w:i w:val="false"/>
          <w:iCs w:val="false"/>
          <w:color w:val="1A1A1A"/>
          <w:sz w:val="22"/>
          <w:szCs w:val="22"/>
        </w:rPr>
        <w:t xml:space="preserve">Natural keys (e.g., bureau report numbers) can change format over time; surrogate integer or string keys are stable, compact, and join-efficient.</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Why is borrower_id NOT the primary key in either table? </w:t>
      </w:r>
      <w:r>
        <w:rPr>
          <w:rFonts w:ascii="Calibri" w:cs="Calibri" w:eastAsia="Calibri" w:hAnsi="Calibri"/>
          <w:b w:val="false"/>
          <w:bCs w:val="false"/>
          <w:i w:val="false"/>
          <w:iCs w:val="false"/>
          <w:color w:val="1A1A1A"/>
          <w:sz w:val="22"/>
          <w:szCs w:val="22"/>
        </w:rPr>
        <w:t xml:space="preserve">Both tables have many-to-one relationships with the borrower (one borrower applies for multiple loans and has multiple bureau pulls), so borrower_id alone cannot uniquely identify a row.</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Why match on pull_date &lt;= application_date? </w:t>
      </w:r>
      <w:r>
        <w:rPr>
          <w:rFonts w:ascii="Calibri" w:cs="Calibri" w:eastAsia="Calibri" w:hAnsi="Calibri"/>
          <w:b w:val="false"/>
          <w:bCs w:val="false"/>
          <w:i w:val="false"/>
          <w:iCs w:val="false"/>
          <w:color w:val="1A1A1A"/>
          <w:sz w:val="22"/>
          <w:szCs w:val="22"/>
        </w:rPr>
        <w:t xml:space="preserve">Risk modeling requires the credit score that was available AT THE TIME the decision was made — not the most recent score. Joining on the latest pull would create look-ahead bias and make the model look more accurate than it actually is in production.</w:t>
      </w:r>
    </w:p>
    <w:p>
      <w:pPr>
        <w:pStyle w:val="Heading1"/>
        <w:pBdr>
          <w:bottom w:val="single" w:color="1F4E79" w:sz="8" w:space="4"/>
        </w:pBdr>
        <w:spacing w:after="180" w:before="360"/>
      </w:pPr>
      <w:r>
        <w:rPr>
          <w:rFonts w:ascii="Calibri" w:cs="Calibri" w:eastAsia="Calibri" w:hAnsi="Calibri"/>
          <w:b/>
          <w:bCs/>
          <w:color w:val="1F4E79"/>
          <w:sz w:val="32"/>
          <w:szCs w:val="32"/>
        </w:rPr>
        <w:t xml:space="preserve">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5860"/>
      </w:tblGrid>
      <w:tr>
        <w:trPr>
          <w:tblHeader/>
        </w:trPr>
        <w:tc>
          <w:tcPr>
            <w:tcW w:type="dxa" w:w="6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Q</w:t>
            </w:r>
          </w:p>
        </w:tc>
        <w:tc>
          <w:tcPr>
            <w:tcW w:type="dxa" w:w="29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Topic</w:t>
            </w:r>
          </w:p>
        </w:tc>
        <w:tc>
          <w:tcPr>
            <w:tcW w:type="dxa" w:w="58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Key Result</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w:t>
            </w:r>
          </w:p>
        </w:tc>
        <w:tc>
          <w:tcPr>
            <w:tcW w:type="dxa" w:w="2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2NF/3NF Normalization</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Flat file split into borrowers / credit_history / loans</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w:t>
            </w:r>
          </w:p>
        </w:tc>
        <w:tc>
          <w:tcPr>
            <w:tcW w:type="dxa" w:w="2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FULL OUTER JOIN reconciliation</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408 funded loans missing application records — control failure</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w:t>
            </w:r>
          </w:p>
        </w:tc>
        <w:tc>
          <w:tcPr>
            <w:tcW w:type="dxa" w:w="2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Interest rate variance</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Variance flat across credit bands — pricing not standardized</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w:t>
            </w:r>
          </w:p>
        </w:tc>
        <w:tc>
          <w:tcPr>
            <w:tcW w:type="dxa" w:w="2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T-test on income</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 &lt; 1e-300; defaulted borrowers earn $26,271 less on average</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w:t>
            </w:r>
          </w:p>
        </w:tc>
        <w:tc>
          <w:tcPr>
            <w:tcW w:type="dxa" w:w="2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DAX risk exposure</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$108.6M (25.2% of $431.2M portfolio) currently in default</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7</w:t>
            </w:r>
          </w:p>
        </w:tc>
        <w:tc>
          <w:tcPr>
            <w:tcW w:type="dxa" w:w="2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Credit score vs loan amount</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 = 0.009 — loan sizing is not credit-aware</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w:t>
            </w:r>
          </w:p>
        </w:tc>
        <w:tc>
          <w:tcPr>
            <w:tcW w:type="dxa" w:w="2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Default rate CI</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Portfolio default rate: 2.28% to 5.72% (95% CI from n=500)</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12</w:t>
            </w:r>
          </w:p>
        </w:tc>
        <w:tc>
          <w:tcPr>
            <w:tcW w:type="dxa" w:w="2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PK/FK design</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Both tables link via borrower_id with point-in-time join logic</w:t>
            </w:r>
          </w:p>
        </w:tc>
      </w:tr>
    </w:tbl>
    <w:p>
      <w:pPr>
        <w:pStyle w:val="Heading2"/>
        <w:spacing w:after="120" w:before="240"/>
      </w:pPr>
      <w:r>
        <w:rPr>
          <w:rFonts w:ascii="Calibri" w:cs="Calibri" w:eastAsia="Calibri" w:hAnsi="Calibri"/>
          <w:b/>
          <w:bCs/>
          <w:color w:val="1F4E79"/>
          <w:sz w:val="26"/>
          <w:szCs w:val="26"/>
        </w:rPr>
        <w:t xml:space="preserve">Risk Committee Recommendation Themes</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1. Underwriting policy review is urgent — </w:t>
      </w:r>
      <w:r>
        <w:rPr>
          <w:rFonts w:ascii="Calibri" w:cs="Calibri" w:eastAsia="Calibri" w:hAnsi="Calibri"/>
          <w:b w:val="false"/>
          <w:bCs w:val="false"/>
          <w:i w:val="false"/>
          <w:iCs w:val="false"/>
          <w:color w:val="1A1A1A"/>
          <w:sz w:val="22"/>
          <w:szCs w:val="22"/>
        </w:rPr>
        <w:t xml:space="preserve">Q3 and Q7 together show that neither rate nor size is differentiated by credit quality. The pricing model needs immediate audit.</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2. Reconciliation gaps must be remediated — </w:t>
      </w:r>
      <w:r>
        <w:rPr>
          <w:rFonts w:ascii="Calibri" w:cs="Calibri" w:eastAsia="Calibri" w:hAnsi="Calibri"/>
          <w:b w:val="false"/>
          <w:bCs w:val="false"/>
          <w:i w:val="false"/>
          <w:iCs w:val="false"/>
          <w:color w:val="1A1A1A"/>
          <w:sz w:val="22"/>
          <w:szCs w:val="22"/>
        </w:rPr>
        <w:t xml:space="preserve">Q2 found 408 disbursements with no application record. Investigate within the current quarter.</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3. Income should be a featured signal in default models — </w:t>
      </w:r>
      <w:r>
        <w:rPr>
          <w:rFonts w:ascii="Calibri" w:cs="Calibri" w:eastAsia="Calibri" w:hAnsi="Calibri"/>
          <w:b w:val="false"/>
          <w:bCs w:val="false"/>
          <w:i w:val="false"/>
          <w:iCs w:val="false"/>
          <w:color w:val="1A1A1A"/>
          <w:sz w:val="22"/>
          <w:szCs w:val="22"/>
        </w:rPr>
        <w:t xml:space="preserve">Q4 shows income strongly separates defaulters from current borrowers (p &lt; 1e-300).</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4. Sample sizes for stress tests need review — </w:t>
      </w:r>
      <w:r>
        <w:rPr>
          <w:rFonts w:ascii="Calibri" w:cs="Calibri" w:eastAsia="Calibri" w:hAnsi="Calibri"/>
          <w:b w:val="false"/>
          <w:bCs w:val="false"/>
          <w:i w:val="false"/>
          <w:iCs w:val="false"/>
          <w:color w:val="1A1A1A"/>
          <w:sz w:val="22"/>
          <w:szCs w:val="22"/>
        </w:rPr>
        <w:t xml:space="preserve">Q8 shows that 500-loan samples produce imprecise estimates (±1.7 ppt). Increase sample size or use full-population calculations.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557391282b05037f296d9ed46b836499edd015.png"/><Relationship Id="rId8" Type="http://schemas.openxmlformats.org/officeDocument/2006/relationships/image" Target="media/09dd7b34dcc1178c4c4e3a067f1de30d6e7b73d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2026-05-01T19:31:17.062Z</dcterms:created>
  <dcterms:modified xsi:type="dcterms:W3CDTF">2026-05-01T19:31:17.063Z</dcterms:modified>
</cp:coreProperties>
</file>

<file path=docProps/custom.xml><?xml version="1.0" encoding="utf-8"?>
<Properties xmlns="http://schemas.openxmlformats.org/officeDocument/2006/custom-properties" xmlns:vt="http://schemas.openxmlformats.org/officeDocument/2006/docPropsVTypes"/>
</file>