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595959"/>
          <w:sz w:val="24"/>
          <w:szCs w:val="24"/>
        </w:rPr>
        <w:t xml:space="preserve">Track 3: Risk &amp; Financial Analysis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FinFlow Bank — Risk Audit &amp; Stress Test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GARCH Volatility Modeling, DuPont Analysis, and Solvency Stress Testing</w:t>
      </w:r>
    </w:p>
    <w:p>
      <w:pPr>
        <w:spacing w:after="240" w:before="8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Questions 2, 3, 4, 5, 6, 8, 10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Datasets: FRED Delinquency Rate (DRALACBS) + Financial Statements 2009-2023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Anchor case study: Barclays (BCS) | 40+ years of US bank delinquency data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Risk Alert Memo for the Board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TO: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Board of Directors, FinFlow Bank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FROM: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Risk Audit Team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RE: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Portfolio Volatility Audit &amp; Solvency Stress Test — does the current environment require capital injection?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Key Insight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7B00" w:sz="4"/>
              <w:left w:val="single" w:color="C97B00" w:sz="24"/>
              <w:bottom w:val="single" w:color="C97B00" w:sz="4"/>
              <w:right w:val="single" w:color="C97B00" w:sz="4"/>
            </w:tcBorders>
            <w:shd w:fill="EAF2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97B00"/>
                <w:sz w:val="22"/>
                <w:szCs w:val="22"/>
              </w:rPr>
              <w:t xml:space="preserve">No immediate capital injection required, but interest rate hedging is urgent.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Sector-wide delinquency rates are at multi-decade lows (1.48% as of Q4 2025) and are forecast to drift slightly lower over the next 4 quarters. However, GARCH modeling reveals that bank delinquency volatility is highly persistent — a shock today reverberates for years. Combined with the bank's high leverage (D/E 7.16×), a single 1pp interest rate move could swing net income from +$6.2B to −$6.1B. The recommended action is interest rate hedging, not equity raise.</w:t>
            </w:r>
          </w:p>
        </w:tc>
      </w:tr>
    </w:tbl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Three findings define the case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1. Volatility is currently low but persistent.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GARCH(1,1) persistence parameter = 1.0 (boundary case) means shocks NEVER fully dissipate. The 2008 crisis took 5+ years to normalize. Current calm is not a guarantee of future stability.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2. Rate sensitivity is the single largest risk.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+1pp interest rate shock would convert Barclays' $6.2B annual profit into a $6.1B loss — a $12.3B swing from a single 100bp move. The Fed has moved &gt;100bp in single years multiple times in the last 3 years.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3. Earnings volatility signals revenue concentration.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Net Income Margin has swung 6.6% → 29.1% → 20.1% over 5 years (std dev 9pp on a mean of 16%). This indicates heavy dependence on cyclical revenue streams (likely trading and investment banking). Diversification toward retail banking would smooth this.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Question 2 — GARCH Volatility Modeling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Why GARCH, not Moving Averages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simple Moving Average gives equal weight to every observation in the window — which means it lags the actual volatility by half the window length. For a 4-quarter MA, the model is reacting to volatility from 6 months ago. By the time the MA spikes, the crisis has already done damage.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GARCH explicitly models the changing variance, weighting recent observations more heavily and adjusting in near real time. This is critical for a Risk Officer who needs to see volatility change as it happens, not 6 months later.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Model specification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GARCH(1,1) model: σ²ₜ = ω + α·ε²ₜ₋₁ + β·σ²ₜ₋₁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Today's variance depends on a constant (ω), yesterday's surprise² (αε²), and yesterday's variance (βσ²). When α + β is close to 1, volatility is highly persistent.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Fitted parameters on 40 years of FRED delinquency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526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Parameter</w:t>
            </w:r>
          </w:p>
        </w:tc>
        <w:tc>
          <w:tcPr>
            <w:tcW w:type="dxa" w:w="17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  <w:tc>
          <w:tcPr>
            <w:tcW w:type="dxa" w:w="52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Interpretation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ω (omega)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3.65</w:t>
            </w:r>
          </w:p>
        </w:tc>
        <w:tc>
          <w:tcPr>
            <w:tcW w:type="dxa" w:w="52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Long-run variance constant</w:t>
            </w:r>
          </w:p>
        </w:tc>
      </w:tr>
      <w:tr>
        <w:tc>
          <w:tcPr>
            <w:tcW w:type="dxa" w:w="24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α (alpha)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0.2366</w:t>
            </w:r>
          </w:p>
        </w:tc>
        <w:tc>
          <w:tcPr>
            <w:tcW w:type="dxa" w:w="52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Reactivity to last shock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β (beta)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0.7634</w:t>
            </w:r>
          </w:p>
        </w:tc>
        <w:tc>
          <w:tcPr>
            <w:tcW w:type="dxa" w:w="52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Persistence of variance</w:t>
            </w:r>
          </w:p>
        </w:tc>
      </w:tr>
      <w:tr>
        <w:tc>
          <w:tcPr>
            <w:tcW w:type="dxa" w:w="24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α + β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1.0000</w:t>
            </w:r>
          </w:p>
        </w:tc>
        <w:tc>
          <w:tcPr>
            <w:tcW w:type="dxa" w:w="52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Boundary case — extreme persistence</w:t>
            </w:r>
          </w:p>
        </w:tc>
      </w:tr>
    </w:tbl>
    <w:p>
      <w:pPr>
        <w:spacing w:after="80" w:before="12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Figure 1 — GARCH(1,1) conditional volatility vs naive 8-quarter rolling std dev.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GARCH peaks in 2009 Q3, lining up with the actual crisis. The rolling SD (gray) lags by 4+ quarters.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Top 10 highest-volatility quarters identified by GARCH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2200"/>
        <w:gridCol w:w="4860"/>
      </w:tblGrid>
      <w:tr>
        <w:trPr>
          <w:tblHeader/>
        </w:trPr>
        <w:tc>
          <w:tcPr>
            <w:tcW w:type="dxa" w:w="8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Rank</w:t>
            </w:r>
          </w:p>
        </w:tc>
        <w:tc>
          <w:tcPr>
            <w:tcW w:type="dxa" w:w="15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Quarter</w:t>
            </w:r>
          </w:p>
        </w:tc>
        <w:tc>
          <w:tcPr>
            <w:tcW w:type="dxa" w:w="22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Delinquency Rate</w:t>
            </w:r>
          </w:p>
        </w:tc>
        <w:tc>
          <w:tcPr>
            <w:tcW w:type="dxa" w:w="48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Conditional Volatility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2009-Q3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6.94%</w:t>
            </w:r>
          </w:p>
        </w:tc>
        <w:tc>
          <w:tcPr>
            <w:tcW w:type="dxa" w:w="48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68.5</w:t>
            </w:r>
          </w:p>
        </w:tc>
      </w:tr>
      <w:tr>
        <w:tc>
          <w:tcPr>
            <w:tcW w:type="dxa" w:w="8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</w:t>
            </w:r>
          </w:p>
        </w:tc>
        <w:tc>
          <w:tcPr>
            <w:tcW w:type="dxa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2009-Q2</w:t>
            </w:r>
          </w:p>
        </w:tc>
        <w:tc>
          <w:tcPr>
            <w:tcW w:type="dxa" w:w="2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6.37%</w:t>
            </w:r>
          </w:p>
        </w:tc>
        <w:tc>
          <w:tcPr>
            <w:tcW w:type="dxa" w:w="48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67.0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2009-Q4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7.30%</w:t>
            </w:r>
          </w:p>
        </w:tc>
        <w:tc>
          <w:tcPr>
            <w:tcW w:type="dxa" w:w="48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66.0</w:t>
            </w:r>
          </w:p>
        </w:tc>
      </w:tr>
      <w:tr>
        <w:tc>
          <w:tcPr>
            <w:tcW w:type="dxa" w:w="8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2010-Q1</w:t>
            </w:r>
          </w:p>
        </w:tc>
        <w:tc>
          <w:tcPr>
            <w:tcW w:type="dxa" w:w="2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7.40%</w:t>
            </w:r>
          </w:p>
        </w:tc>
        <w:tc>
          <w:tcPr>
            <w:tcW w:type="dxa" w:w="48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60.3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5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2009-Q1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5.64%</w:t>
            </w:r>
          </w:p>
        </w:tc>
        <w:tc>
          <w:tcPr>
            <w:tcW w:type="dxa" w:w="48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58.4</w:t>
            </w:r>
          </w:p>
        </w:tc>
      </w:tr>
      <w:tr>
        <w:tc>
          <w:tcPr>
            <w:tcW w:type="dxa" w:w="8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6</w:t>
            </w:r>
          </w:p>
        </w:tc>
        <w:tc>
          <w:tcPr>
            <w:tcW w:type="dxa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2010-Q2</w:t>
            </w:r>
          </w:p>
        </w:tc>
        <w:tc>
          <w:tcPr>
            <w:tcW w:type="dxa" w:w="2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7.21%</w:t>
            </w:r>
          </w:p>
        </w:tc>
        <w:tc>
          <w:tcPr>
            <w:tcW w:type="dxa" w:w="48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52.9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7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1987-Q2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5.47%</w:t>
            </w:r>
          </w:p>
        </w:tc>
        <w:tc>
          <w:tcPr>
            <w:tcW w:type="dxa" w:w="48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49.1</w:t>
            </w:r>
          </w:p>
        </w:tc>
      </w:tr>
      <w:tr>
        <w:tc>
          <w:tcPr>
            <w:tcW w:type="dxa" w:w="8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8</w:t>
            </w:r>
          </w:p>
        </w:tc>
        <w:tc>
          <w:tcPr>
            <w:tcW w:type="dxa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2010-Q3</w:t>
            </w:r>
          </w:p>
        </w:tc>
        <w:tc>
          <w:tcPr>
            <w:tcW w:type="dxa" w:w="2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6.89%</w:t>
            </w:r>
          </w:p>
        </w:tc>
        <w:tc>
          <w:tcPr>
            <w:tcW w:type="dxa" w:w="48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47.2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9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2011-Q1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6.20%</w:t>
            </w:r>
          </w:p>
        </w:tc>
        <w:tc>
          <w:tcPr>
            <w:tcW w:type="dxa" w:w="48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45.9</w:t>
            </w:r>
          </w:p>
        </w:tc>
      </w:tr>
      <w:tr>
        <w:tc>
          <w:tcPr>
            <w:tcW w:type="dxa" w:w="8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10</w:t>
            </w:r>
          </w:p>
        </w:tc>
        <w:tc>
          <w:tcPr>
            <w:tcW w:type="dxa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2010-Q4</w:t>
            </w:r>
          </w:p>
        </w:tc>
        <w:tc>
          <w:tcPr>
            <w:tcW w:type="dxa" w:w="2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6.38%</w:t>
            </w:r>
          </w:p>
        </w:tc>
        <w:tc>
          <w:tcPr>
            <w:tcW w:type="dxa" w:w="48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44.1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7B00" w:sz="4"/>
              <w:left w:val="single" w:color="C97B00" w:sz="24"/>
              <w:bottom w:val="single" w:color="C97B00" w:sz="4"/>
              <w:right w:val="single" w:color="C97B00" w:sz="4"/>
            </w:tcBorders>
            <w:shd w:fill="EAF2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97B00"/>
                <w:sz w:val="22"/>
                <w:szCs w:val="22"/>
              </w:rPr>
              <w:t xml:space="preserve">The Power of Volatility Clustering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8 of the top 10 highest-volatility quarters in 40 years cluster in 2009-2011 — a textbook demonstration of why GARCH matters. Once the financial crisis hit, the volatility regime stayed elevated for ~3 years before normalising. A naive moving average would have signaled 'normal' by 2010 because the rolling window was already half-recovered. GARCH stayed elevated until the underlying turbulence actually subsided.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Question 3 — Bank DuPont Decomposition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DuPont identity</w:t>
      </w:r>
    </w:p>
    <w:p>
      <w:pPr>
        <w:spacing w:after="80" w:before="80" w:line="3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ROE = Net Profit Margin × Asset Turnover × Financial Leverage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Barclays 2022 — full decomposition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22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  <w:tc>
          <w:tcPr>
            <w:tcW w:type="dxa" w:w="39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Note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Revenue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$30,868M</w:t>
            </w:r>
          </w:p>
        </w:tc>
        <w:tc>
          <w:tcPr>
            <w:tcW w:type="dxa" w:w="39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Net Income</w:t>
            </w:r>
          </w:p>
        </w:tc>
        <w:tc>
          <w:tcPr>
            <w:tcW w:type="dxa" w:w="2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$6,213M</w:t>
            </w:r>
          </w:p>
        </w:tc>
        <w:tc>
          <w:tcPr>
            <w:tcW w:type="dxa" w:w="39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Equity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$85,668M</w:t>
            </w:r>
          </w:p>
        </w:tc>
        <w:tc>
          <w:tcPr>
            <w:tcW w:type="dxa" w:w="39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Total Assets (derived)</w:t>
            </w:r>
          </w:p>
        </w:tc>
        <w:tc>
          <w:tcPr>
            <w:tcW w:type="dxa" w:w="2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$1,574,493M</w:t>
            </w:r>
          </w:p>
        </w:tc>
        <w:tc>
          <w:tcPr>
            <w:tcW w:type="dxa" w:w="39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From NI ÷ ROA — matches real Barclays balance sheet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Net Profit Margin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20.13%</w:t>
            </w:r>
          </w:p>
        </w:tc>
        <w:tc>
          <w:tcPr>
            <w:tcW w:type="dxa" w:w="39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Decent for a bank</w:t>
            </w:r>
          </w:p>
        </w:tc>
      </w:tr>
      <w:tr>
        <w:tc>
          <w:tcPr>
            <w:tcW w:type="dxa" w:w="3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Asset Turnover</w:t>
            </w:r>
          </w:p>
        </w:tc>
        <w:tc>
          <w:tcPr>
            <w:tcW w:type="dxa" w:w="2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0.0196</w:t>
            </w:r>
          </w:p>
        </w:tc>
        <w:tc>
          <w:tcPr>
            <w:tcW w:type="dxa" w:w="39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Extremely low (banks are asset-heavy)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Financial Leverage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18.38</w:t>
            </w:r>
          </w:p>
        </w:tc>
        <w:tc>
          <w:tcPr>
            <w:tcW w:type="dxa" w:w="39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Extreme (bank-defining)</w:t>
            </w:r>
          </w:p>
        </w:tc>
      </w:tr>
      <w:tr>
        <w:tc>
          <w:tcPr>
            <w:tcW w:type="dxa" w:w="3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Computed ROE</w:t>
            </w:r>
          </w:p>
        </w:tc>
        <w:tc>
          <w:tcPr>
            <w:tcW w:type="dxa" w:w="2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7.25%</w:t>
            </w:r>
          </w:p>
        </w:tc>
        <w:tc>
          <w:tcPr>
            <w:tcW w:type="dxa" w:w="39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vs reported 8.62%</w:t>
            </w:r>
          </w:p>
        </w:tc>
      </w:tr>
    </w:tbl>
    <w:p>
      <w:pPr>
        <w:spacing w:after="80" w:before="120"/>
        <w:jc w:val="center"/>
      </w:pPr>
      <w:r>
        <w:drawing>
          <wp:inline distT="0" distB="0" distL="0" distR="0">
            <wp:extent cx="5905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Figure 2 — Debt/Equity ratio: BCS (bank) vs AAPL and MSFT (non-banks).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Bank leverage is structurally 5× higher than retail tech, reflecting the deposit-funded business model.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7B00" w:sz="4"/>
              <w:left w:val="single" w:color="C97B00" w:sz="24"/>
              <w:bottom w:val="single" w:color="C97B00" w:sz="4"/>
              <w:right w:val="single" w:color="C97B00" w:sz="4"/>
            </w:tcBorders>
            <w:shd w:fill="EAF2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97B00"/>
                <w:sz w:val="22"/>
                <w:szCs w:val="22"/>
              </w:rPr>
              <w:t xml:space="preserve">Why Bank Leverage is Structurally High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Banks fund their lending business primarily with deposits. Depositor balances are accounting LIABILITIES on the bank's books. A bank with $1B in deposits and $100M in equity has D/E = 10. This is normal banking — not a sign of distress. Regulators recognize this through capital adequacy frameworks (Basel III) which require banks to hold equity equal to 8-10% of risk-weighted assets — effectively capping leverage at ~10-12×. For comparison, a software company with no deposit business runs at D/E ~0.5.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Question 4 — Debt/Equity &amp; Interest Rate Shock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The +1 percentage point scenario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Apply a +1pp interest rate shock to Barclays' debt load. Move baseline 5% cost of debt to 6%. Assess interest coverage before and after.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Inputs (Barclays 2022)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48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4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Debt/Equity ratio</w:t>
            </w:r>
          </w:p>
        </w:tc>
        <w:tc>
          <w:tcPr>
            <w:tcW w:type="dxa" w:w="48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7.16</w:t>
            </w:r>
          </w:p>
        </w:tc>
      </w:tr>
      <w:tr>
        <w:tc>
          <w:tcPr>
            <w:tcW w:type="dxa" w:w="4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Equity</w:t>
            </w:r>
          </w:p>
        </w:tc>
        <w:tc>
          <w:tcPr>
            <w:tcW w:type="dxa" w:w="48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$85,668M</w:t>
            </w:r>
          </w:p>
        </w:tc>
      </w:tr>
      <w:tr>
        <w:tc>
          <w:tcPr>
            <w:tcW w:type="dxa" w:w="4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Total Debt (derived)</w:t>
            </w:r>
          </w:p>
        </w:tc>
        <w:tc>
          <w:tcPr>
            <w:tcW w:type="dxa" w:w="48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$613,398M</w:t>
            </w:r>
          </w:p>
        </w:tc>
      </w:tr>
      <w:tr>
        <w:tc>
          <w:tcPr>
            <w:tcW w:type="dxa" w:w="4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Net Income (today)</w:t>
            </w:r>
          </w:p>
        </w:tc>
        <w:tc>
          <w:tcPr>
            <w:tcW w:type="dxa" w:w="48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$6,213M</w:t>
            </w:r>
          </w:p>
        </w:tc>
      </w:tr>
    </w:tbl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Baseline vs shock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2200"/>
        <w:gridCol w:w="2260"/>
      </w:tblGrid>
      <w:tr>
        <w:trPr>
          <w:tblHeader/>
        </w:trPr>
        <w:tc>
          <w:tcPr>
            <w:tcW w:type="dxa" w:w="27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22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Baseline @ 5%</w:t>
            </w:r>
          </w:p>
        </w:tc>
        <w:tc>
          <w:tcPr>
            <w:tcW w:type="dxa" w:w="22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Shock @ 6%</w:t>
            </w:r>
          </w:p>
        </w:tc>
        <w:tc>
          <w:tcPr>
            <w:tcW w:type="dxa" w:w="22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Change</w:t>
            </w:r>
          </w:p>
        </w:tc>
      </w:tr>
      <w:tr>
        <w:tc>
          <w:tcPr>
            <w:tcW w:type="dxa" w:w="2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Interest Expense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$30,670M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$36,804M</w:t>
            </w:r>
          </w:p>
        </w:tc>
        <w:tc>
          <w:tcPr>
            <w:tcW w:type="dxa" w:w="22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+$6,134M</w:t>
            </w:r>
          </w:p>
        </w:tc>
      </w:tr>
      <w:tr>
        <w:tc>
          <w:tcPr>
            <w:tcW w:type="dxa" w:w="2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NI before Interest</w:t>
            </w:r>
          </w:p>
        </w:tc>
        <w:tc>
          <w:tcPr>
            <w:tcW w:type="dxa" w:w="2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$36,883M</w:t>
            </w:r>
          </w:p>
        </w:tc>
        <w:tc>
          <w:tcPr>
            <w:tcW w:type="dxa" w:w="2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$36,883M</w:t>
            </w:r>
          </w:p>
        </w:tc>
        <w:tc>
          <w:tcPr>
            <w:tcW w:type="dxa" w:w="22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Net Income (post)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+$6,213M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−$6,055M</w:t>
            </w:r>
          </w:p>
        </w:tc>
        <w:tc>
          <w:tcPr>
            <w:tcW w:type="dxa" w:w="22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−$12,268M</w:t>
            </w:r>
          </w:p>
        </w:tc>
      </w:tr>
      <w:tr>
        <w:tc>
          <w:tcPr>
            <w:tcW w:type="dxa" w:w="2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Interest Coverage</w:t>
            </w:r>
          </w:p>
        </w:tc>
        <w:tc>
          <w:tcPr>
            <w:tcW w:type="dxa" w:w="2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1.20×</w:t>
            </w:r>
          </w:p>
        </w:tc>
        <w:tc>
          <w:tcPr>
            <w:tcW w:type="dxa" w:w="2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0.84×</w:t>
            </w:r>
          </w:p>
        </w:tc>
        <w:tc>
          <w:tcPr>
            <w:tcW w:type="dxa" w:w="22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Below 1×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7B00" w:sz="4"/>
              <w:left w:val="single" w:color="C97B00" w:sz="24"/>
              <w:bottom w:val="single" w:color="C97B00" w:sz="4"/>
              <w:right w:val="single" w:color="C97B00" w:sz="4"/>
            </w:tcBorders>
            <w:shd w:fill="EAF2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97B00"/>
                <w:sz w:val="22"/>
                <w:szCs w:val="22"/>
              </w:rPr>
              <w:t xml:space="preserve">Critical Risk Finding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 SINGLE 1pp rate move would push Barclays' net income from +$6.2B to −$6.1B — a $12.3B swing. This is the 1:1 leverage of rate moves to net income that defines high-D/E banks. Every basis point matters. Interest coverage drops from 1.20× to 0.84× — meaning earnings before interest no longer cover interest payments. The Risk Committee must verify that interest rate hedging derivatives are in place to cover at least the next 12-month policy horizon. The Fed has moved &gt;100bp in single years multiple times in the last 3 years.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Question 5 — Direct vs Indirect Cash Flow Method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The two methods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Indirect method: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Start with Net Income, add back non-cash items (depreciation), adjust for working capital changes. Used by 99% of public companies.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Direct method: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List actual cash receipts and payments by category (cash from customers, cash to suppliers, etc.). Required only by GAAP for certain disclosures.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Comparison for operational risk visibility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Aspect</w:t>
            </w:r>
          </w:p>
        </w:tc>
        <w:tc>
          <w:tcPr>
            <w:tcW w:type="dxa" w:w="32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Indirect Method</w:t>
            </w:r>
          </w:p>
        </w:tc>
        <w:tc>
          <w:tcPr>
            <w:tcW w:type="dxa" w:w="31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Direct Method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Starting point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Net Income</w:t>
            </w:r>
          </w:p>
        </w:tc>
        <w:tc>
          <w:tcPr>
            <w:tcW w:type="dxa" w:w="31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Cash receipts/payments</w:t>
            </w:r>
          </w:p>
        </w:tc>
      </w:tr>
      <w:tr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Working capital visibility</w:t>
            </w:r>
          </w:p>
        </w:tc>
        <w:tc>
          <w:tcPr>
            <w:tcW w:type="dxa" w:w="3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Good — shown explicitly</w:t>
            </w:r>
          </w:p>
        </w:tc>
        <w:tc>
          <w:tcPr>
            <w:tcW w:type="dxa" w:w="31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Buried in line items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Earnings quality check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Easy (NI vs OpCF gap visible)</w:t>
            </w:r>
          </w:p>
        </w:tc>
        <w:tc>
          <w:tcPr>
            <w:tcW w:type="dxa" w:w="31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Harder</w:t>
            </w:r>
          </w:p>
        </w:tc>
      </w:tr>
      <w:tr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Operational risk signals</w:t>
            </w:r>
          </w:p>
        </w:tc>
        <w:tc>
          <w:tcPr>
            <w:tcW w:type="dxa" w:w="3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Strong — accruals stand out</w:t>
            </w:r>
          </w:p>
        </w:tc>
        <w:tc>
          <w:tcPr>
            <w:tcW w:type="dxa" w:w="31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Strong — but harder to pattern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Industry standard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Yes (99% of companies)</w:t>
            </w:r>
          </w:p>
        </w:tc>
        <w:tc>
          <w:tcPr>
            <w:tcW w:type="dxa" w:w="31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Rare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7B00" w:sz="4"/>
              <w:left w:val="single" w:color="C97B00" w:sz="24"/>
              <w:bottom w:val="single" w:color="C97B00" w:sz="4"/>
              <w:right w:val="single" w:color="C97B00" w:sz="4"/>
            </w:tcBorders>
            <w:shd w:fill="EAF2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97B00"/>
                <w:sz w:val="22"/>
                <w:szCs w:val="22"/>
              </w:rPr>
              <w:t xml:space="preserve">Verdict — Indirect Method Provides Better Operational Risk Clarity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The indirect method explicitly shows the gap between accounting profit (Net Income) and actual cash (Operating Cash Flow). A widening gap — where NI grows while OpCF shrinks — is a classic leading indicator of trouble (revenue recognition gaming, channel stuffing, or aggressive accruals). The direct method shows you cash movements but doesn't naturally surface the accrual quality question. For a bank, where loan loss provisions and trading mark-to-market gains are critical accruals, indirect-method visibility is essential.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Question 6 — Revenue/Income Concentration Trend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Net Income Margin trend (5 years)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200"/>
        <w:gridCol w:w="1500"/>
        <w:gridCol w:w="2260"/>
      </w:tblGrid>
      <w:tr>
        <w:trPr>
          <w:tblHeader/>
        </w:trPr>
        <w:tc>
          <w:tcPr>
            <w:tcW w:type="dxa" w:w="12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Year</w:t>
            </w:r>
          </w:p>
        </w:tc>
        <w:tc>
          <w:tcPr>
            <w:tcW w:type="dxa" w:w="22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Revenue</w:t>
            </w:r>
          </w:p>
        </w:tc>
        <w:tc>
          <w:tcPr>
            <w:tcW w:type="dxa" w:w="22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Net Income</w:t>
            </w:r>
          </w:p>
        </w:tc>
        <w:tc>
          <w:tcPr>
            <w:tcW w:type="dxa" w:w="15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NIM %</w:t>
            </w:r>
          </w:p>
        </w:tc>
        <w:tc>
          <w:tcPr>
            <w:tcW w:type="dxa" w:w="22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Trend signal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2018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$28,212M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$1,861M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6.60%</w:t>
            </w:r>
          </w:p>
        </w:tc>
        <w:tc>
          <w:tcPr>
            <w:tcW w:type="dxa" w:w="22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Weak</w:t>
            </w:r>
          </w:p>
        </w:tc>
      </w:tr>
      <w:tr>
        <w:tc>
          <w:tcPr>
            <w:tcW w:type="dxa" w:w="1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2019</w:t>
            </w:r>
          </w:p>
        </w:tc>
        <w:tc>
          <w:tcPr>
            <w:tcW w:type="dxa" w:w="2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$27,622M</w:t>
            </w:r>
          </w:p>
        </w:tc>
        <w:tc>
          <w:tcPr>
            <w:tcW w:type="dxa" w:w="2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$4,181M</w:t>
            </w:r>
          </w:p>
        </w:tc>
        <w:tc>
          <w:tcPr>
            <w:tcW w:type="dxa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15.13%</w:t>
            </w:r>
          </w:p>
        </w:tc>
        <w:tc>
          <w:tcPr>
            <w:tcW w:type="dxa" w:w="22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Recovery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2020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$27,948M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$1,959M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7.01%</w:t>
            </w:r>
          </w:p>
        </w:tc>
        <w:tc>
          <w:tcPr>
            <w:tcW w:type="dxa" w:w="22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COVID hit</w:t>
            </w:r>
          </w:p>
        </w:tc>
      </w:tr>
      <w:tr>
        <w:tc>
          <w:tcPr>
            <w:tcW w:type="dxa" w:w="1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2021</w:t>
            </w:r>
          </w:p>
        </w:tc>
        <w:tc>
          <w:tcPr>
            <w:tcW w:type="dxa" w:w="2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$30,170M</w:t>
            </w:r>
          </w:p>
        </w:tc>
        <w:tc>
          <w:tcPr>
            <w:tcW w:type="dxa" w:w="2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$8,766M</w:t>
            </w:r>
          </w:p>
        </w:tc>
        <w:tc>
          <w:tcPr>
            <w:tcW w:type="dxa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29.06%</w:t>
            </w:r>
          </w:p>
        </w:tc>
        <w:tc>
          <w:tcPr>
            <w:tcW w:type="dxa" w:w="22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Trading boom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2022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$30,868M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$6,213M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20.13%</w:t>
            </w:r>
          </w:p>
        </w:tc>
        <w:tc>
          <w:tcPr>
            <w:tcW w:type="dxa" w:w="22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Normalising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7B00" w:sz="4"/>
              <w:left w:val="single" w:color="C97B00" w:sz="24"/>
              <w:bottom w:val="single" w:color="C97B00" w:sz="4"/>
              <w:right w:val="single" w:color="C97B00" w:sz="4"/>
            </w:tcBorders>
            <w:shd w:fill="EAF2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97B00"/>
                <w:sz w:val="22"/>
                <w:szCs w:val="22"/>
              </w:rPr>
              <w:t xml:space="preserve">Revenue Concentration Risk Identified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Net Income Margin has swung from 6.6% to 29.1% over 5 years — a 9 percentage point standard deviation on a 16% mean. This volatility signals heavy dependence on cyclical revenue streams (likely trading and investment banking). A more stable utility business would show NIM volatility under 2pp year-over-year. The Risk Committee should request a revenue-segment breakdown to identify the specific concentration: is the dependence on FICC trading, advisory fees, or investment management? Diversification toward retail banking would smooth this and reduce earnings risk.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Question 8 — Holt-Winters Forecast of Delinquency Rate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Approach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Apply Holt-Winters exponential smoothing (additive trend, no seasonality) to the 40-year FRED delinquency series. Forecast 4 quarters ahead. Compare against regulatory bands.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250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Figure 3 — Holt-Winters 4-quarter forecast for bank delinquency rate.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Forecast trends slightly lower from 1.48% to 1.42%; 95% CI well within normal range.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Forecast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2700"/>
        <w:gridCol w:w="3460"/>
      </w:tblGrid>
      <w:tr>
        <w:trPr>
          <w:tblHeader/>
        </w:trPr>
        <w:tc>
          <w:tcPr>
            <w:tcW w:type="dxa" w:w="15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Quarter</w:t>
            </w:r>
          </w:p>
        </w:tc>
        <w:tc>
          <w:tcPr>
            <w:tcW w:type="dxa" w:w="17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Forecast</w:t>
            </w:r>
          </w:p>
        </w:tc>
        <w:tc>
          <w:tcPr>
            <w:tcW w:type="dxa" w:w="27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95% CI Lower</w:t>
            </w:r>
          </w:p>
        </w:tc>
        <w:tc>
          <w:tcPr>
            <w:tcW w:type="dxa" w:w="34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95% CI Upper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2026 Q1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1.46%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1.07%</w:t>
            </w:r>
          </w:p>
        </w:tc>
        <w:tc>
          <w:tcPr>
            <w:tcW w:type="dxa" w:w="34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1.85%</w:t>
            </w:r>
          </w:p>
        </w:tc>
      </w:tr>
      <w:tr>
        <w:tc>
          <w:tcPr>
            <w:tcW w:type="dxa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2026 Q2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1.45%</w:t>
            </w:r>
          </w:p>
        </w:tc>
        <w:tc>
          <w:tcPr>
            <w:tcW w:type="dxa" w:w="2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1.06%</w:t>
            </w:r>
          </w:p>
        </w:tc>
        <w:tc>
          <w:tcPr>
            <w:tcW w:type="dxa" w:w="34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1.84%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2026 Q3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1.43%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1.04%</w:t>
            </w:r>
          </w:p>
        </w:tc>
        <w:tc>
          <w:tcPr>
            <w:tcW w:type="dxa" w:w="34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1.82%</w:t>
            </w:r>
          </w:p>
        </w:tc>
      </w:tr>
      <w:tr>
        <w:tc>
          <w:tcPr>
            <w:tcW w:type="dxa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2026 Q4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1.42%</w:t>
            </w:r>
          </w:p>
        </w:tc>
        <w:tc>
          <w:tcPr>
            <w:tcW w:type="dxa" w:w="2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1.03%</w:t>
            </w:r>
          </w:p>
        </w:tc>
        <w:tc>
          <w:tcPr>
            <w:tcW w:type="dxa" w:w="34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1.81%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7B00" w:sz="4"/>
              <w:left w:val="single" w:color="C97B00" w:sz="24"/>
              <w:bottom w:val="single" w:color="C97B00" w:sz="4"/>
              <w:right w:val="single" w:color="C97B00" w:sz="4"/>
            </w:tcBorders>
            <w:shd w:fill="EAF2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97B00"/>
                <w:sz w:val="22"/>
                <w:szCs w:val="22"/>
              </w:rPr>
              <w:t xml:space="preserve">Regulatory Compliance — No Breach Predicted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All four forecast quarters fall comfortably within the normal 1-5% range. The 95% confidence intervals stay well below the 5% stress trigger. Based on system-wide trends, FinFlow Bank's portfolio quality should remain stable in the near term. However: the GARCH analysis (Q2) shows persistence = 1.0 — meaning if a shock occurs, it will reverberate for many quarters. This forecast is a baseline, not a guarantee. Maintain stress-test scenarios for both rates +200bp and a recession-induced delinquency spike to 4-5%.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Question 10 — Microsoft Fabric Anomaly Detection Pipeline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Pipeline rule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Flag any quarter where the delinquency rate exceeds the trailing 3-quarter moving average by more than 20%. Threshold calibration designed to catch only major regime shifts.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Pipeline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5160"/>
      </w:tblGrid>
      <w:tr>
        <w:trPr>
          <w:tblHeader/>
        </w:trPr>
        <w:tc>
          <w:tcPr>
            <w:tcW w:type="dxa" w:w="15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Stage</w:t>
            </w:r>
          </w:p>
        </w:tc>
        <w:tc>
          <w:tcPr>
            <w:tcW w:type="dxa" w:w="27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51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Function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1. Ingest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Dataflow Gen2</w:t>
            </w:r>
          </w:p>
        </w:tc>
        <w:tc>
          <w:tcPr>
            <w:tcW w:type="dxa" w:w="51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Pull FRED data via API on quarterly schedule</w:t>
            </w:r>
          </w:p>
        </w:tc>
      </w:tr>
      <w:tr>
        <w:tc>
          <w:tcPr>
            <w:tcW w:type="dxa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2. Transform</w:t>
            </w:r>
          </w:p>
        </w:tc>
        <w:tc>
          <w:tcPr>
            <w:tcW w:type="dxa" w:w="2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SQL window function</w:t>
            </w:r>
          </w:p>
        </w:tc>
        <w:tc>
          <w:tcPr>
            <w:tcW w:type="dxa" w:w="51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Compute trailing 3-qtr MA + 20% threshold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3. Flag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Conditional column</w:t>
            </w:r>
          </w:p>
        </w:tc>
        <w:tc>
          <w:tcPr>
            <w:tcW w:type="dxa" w:w="51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Mark rows where rate &gt; MA × 1.20</w:t>
            </w:r>
          </w:p>
        </w:tc>
      </w:tr>
      <w:tr>
        <w:tc>
          <w:tcPr>
            <w:tcW w:type="dxa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4. Surface</w:t>
            </w:r>
          </w:p>
        </w:tc>
        <w:tc>
          <w:tcPr>
            <w:tcW w:type="dxa" w:w="2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Power BI alert tile</w:t>
            </w:r>
          </w:p>
        </w:tc>
        <w:tc>
          <w:tcPr>
            <w:tcW w:type="dxa" w:w="51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Risk Officer sees flagged quarters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5. Notify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Logic App + Teams</w:t>
            </w:r>
          </w:p>
        </w:tc>
        <w:tc>
          <w:tcPr>
            <w:tcW w:type="dxa" w:w="51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Push notification when status='FLAGGED'</w:t>
            </w:r>
          </w:p>
        </w:tc>
      </w:tr>
    </w:tbl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Backtest result on 40 years of FRED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7B00" w:sz="4"/>
              <w:left w:val="single" w:color="C97B00" w:sz="24"/>
              <w:bottom w:val="single" w:color="C97B00" w:sz="4"/>
              <w:right w:val="single" w:color="C97B00" w:sz="4"/>
            </w:tcBorders>
            <w:shd w:fill="EAF2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97B00"/>
                <w:sz w:val="22"/>
                <w:szCs w:val="22"/>
              </w:rPr>
              <w:t xml:space="preserve">One Single Flag in 40 Years — 2008 Q4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The pipeline would have flagged exactly one quarter in 40 years of historical data — 2008 Q4, when delinquency hit 4.75% against a trailing MA of 3.93% (threshold 4.72%). This is precisely the quarter the Great Financial Crisis hit bank balance sheets. Tighter thresholds (10%) would generate false-positive noise; looser thresholds (30%) would have missed the GFC entirely. The 20% calibration strikes the right balance between sensitivity and false-positive rate.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Summary of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900"/>
        <w:gridCol w:w="5860"/>
      </w:tblGrid>
      <w:tr>
        <w:trPr>
          <w:tblHeader/>
        </w:trPr>
        <w:tc>
          <w:tcPr>
            <w:tcW w:type="dxa" w:w="6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Q</w:t>
            </w:r>
          </w:p>
        </w:tc>
        <w:tc>
          <w:tcPr>
            <w:tcW w:type="dxa" w:w="29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Topic</w:t>
            </w:r>
          </w:p>
        </w:tc>
        <w:tc>
          <w:tcPr>
            <w:tcW w:type="dxa" w:w="58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Key Result</w:t>
            </w:r>
          </w:p>
        </w:tc>
      </w:tr>
      <w:tr>
        <w:tc>
          <w:tcPr>
            <w:tcW w:type="dxa" w:w="6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GARCH volatility</w:t>
            </w:r>
          </w:p>
        </w:tc>
        <w:tc>
          <w:tcPr>
            <w:tcW w:type="dxa" w:w="58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GFC peak σ=68 (5× normal); persistence=1.0 (extreme)</w:t>
            </w:r>
          </w:p>
        </w:tc>
      </w:tr>
      <w:tr>
        <w:tc>
          <w:tcPr>
            <w:tcW w:type="dxa" w:w="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29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Bank DuPont</w:t>
            </w:r>
          </w:p>
        </w:tc>
        <w:tc>
          <w:tcPr>
            <w:tcW w:type="dxa" w:w="58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BCS Financial Leverage 18×; D/E 5× higher than retail tech</w:t>
            </w:r>
          </w:p>
        </w:tc>
      </w:tr>
      <w:tr>
        <w:tc>
          <w:tcPr>
            <w:tcW w:type="dxa" w:w="6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Rate shock</w:t>
            </w:r>
          </w:p>
        </w:tc>
        <w:tc>
          <w:tcPr>
            <w:tcW w:type="dxa" w:w="58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+1pp shock → NI swings $6.2B profit to $6.1B loss</w:t>
            </w:r>
          </w:p>
        </w:tc>
      </w:tr>
      <w:tr>
        <w:tc>
          <w:tcPr>
            <w:tcW w:type="dxa" w:w="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5</w:t>
            </w:r>
          </w:p>
        </w:tc>
        <w:tc>
          <w:tcPr>
            <w:tcW w:type="dxa" w:w="29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Cash flow methods</w:t>
            </w:r>
          </w:p>
        </w:tc>
        <w:tc>
          <w:tcPr>
            <w:tcW w:type="dxa" w:w="58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Indirect provides better operational risk visibility</w:t>
            </w:r>
          </w:p>
        </w:tc>
      </w:tr>
      <w:tr>
        <w:tc>
          <w:tcPr>
            <w:tcW w:type="dxa" w:w="6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6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Revenue concentration</w:t>
            </w:r>
          </w:p>
        </w:tc>
        <w:tc>
          <w:tcPr>
            <w:tcW w:type="dxa" w:w="58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NIM volatility 6.6%→29% indicates trading dependence</w:t>
            </w:r>
          </w:p>
        </w:tc>
      </w:tr>
      <w:tr>
        <w:tc>
          <w:tcPr>
            <w:tcW w:type="dxa" w:w="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8</w:t>
            </w:r>
          </w:p>
        </w:tc>
        <w:tc>
          <w:tcPr>
            <w:tcW w:type="dxa" w:w="29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Delinquency forecast</w:t>
            </w:r>
          </w:p>
        </w:tc>
        <w:tc>
          <w:tcPr>
            <w:tcW w:type="dxa" w:w="58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1.46% → 1.42% next 4Q; no stress trigger breach</w:t>
            </w:r>
          </w:p>
        </w:tc>
      </w:tr>
      <w:tr>
        <w:tc>
          <w:tcPr>
            <w:tcW w:type="dxa" w:w="6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10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Anomaly pipeline</w:t>
            </w:r>
          </w:p>
        </w:tc>
        <w:tc>
          <w:tcPr>
            <w:tcW w:type="dxa" w:w="58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 flag in 40 years (2008 Q4) — calibration validated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Strategic Recommendations to the Board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1. Interest rate hedging is URGENT, equity raise is NOT.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Q4 shows a 1pp rate move could erase a year's profits. Q8 shows delinquency is forecast to remain low. The risk profile calls for derivatives, not capital.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2. Maintain GARCH-based volatility monitoring.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Q2 demonstrates that simple moving averages lag actual volatility by 4+ quarters. Implement GARCH dashboards for real-time risk monitoring.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3. Diversify revenue mix toward retail banking.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Q6 shows trading/IB cyclicality is creating earnings volatility. A higher retail mix would smooth NIM fluctuations.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4. Deploy the Microsoft Fabric anomaly pipeline.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Q10 validates that the 20% MA-deviation rule produces actionable alerts (1 in 40 years) without false-positive noise. Production deployment recommended.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754642c0f3d4aff8d1c7106198109602bdf689e.png"/><Relationship Id="rId8" Type="http://schemas.openxmlformats.org/officeDocument/2006/relationships/image" Target="media/2288544d1a3992016a2c705b326b5d3fd2de0a53.png"/><Relationship Id="rId9" Type="http://schemas.openxmlformats.org/officeDocument/2006/relationships/image" Target="media/ce109ec66931d82059639f910d2ec27d5809136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2026-05-02T19:46:10.545Z</dcterms:created>
  <dcterms:modified xsi:type="dcterms:W3CDTF">2026-05-02T19:46:10.546Z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