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Track 2: Product &amp; Consulting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Feature Roadmap Decision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AI-Based Search vs Loyalty Program — Decision Tree, EV, and Monte Carlo Analysis</w:t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Questions 1, 2, 3, 4, 5, 7, 8, 9, 10, 12 (analytical) + Q6, Q11 (design)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Dataset: E-commerce Customer Behavior (350 customers × 11 features)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Decision Tree | Expected Value | LTV/CAC | Monte Carlo | Lifecycle Analysis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data favors building AI-Based Search now and deferring the Loyalty Program. Three quantitative findings drive this recommendation: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Search engagement drives retention with overwhelming statistical significance.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Search-active users (top quartile by Items Purchased) have 94.4% 30-day retention vs 51.4% for non-search users — a 43-percentage-point gap with chi-square p &lt; 0.000001. The effect is most pronounced early (15-day window: 54% vs 14%).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Search has 3.22× more revenue upside than Loyalty.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Search lift = $57,520/year (affects all 350 users via 20% items lift). Loyalty lift = $17,852/year (only affects 46 incremental tier converters). Even at 2× higher dev cost, Search wins on EV.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The decision tree is essentially deterministic on Total Spend.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Total Spend has 97.5% feature importance; the tree splits cleanly at $825. Search lifts items, items lift spend (r = 0.972), spend predicts adoption — a clean causal chain.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Strategic Recommendation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Green-light AI Search MVP for Q1 sprint with 4-month ship target. Start rule-based to mitigate small-dataset ML risk; layer ML personalization after 6 months of telemetry. Defer Loyalty Program to Q3 — it remains valuable but is sequenced AFTER Search establishes the retention foundation. Monte Carlo predicts post-launch satisfaction lift to 47.7% (95% CI [41%, 54%]).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Methodology Disclosure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dataset has no explicit 'AI Search' or 'Loyalty Program' event flags. We use defensible behavioral proxies: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AI Search adoption proxy: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top quartile of Items Purchased (≥15 items). Justification: Items Purchased correlates 0.972 with Total Spend, indicating high-engagement search/browse behavior.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Loyalty Program participation proxy: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Membership Type (Gold/Silver/Bronze tiers). The dataset already encodes a loyalty tier structure.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 — N-Day Retention: Search vs Non-Search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1 — N-Day retention curves.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Search-active users converge on 100% retention by day 35; non-search users take 60+ days to reach the same level.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Retention rates by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00"/>
        <w:gridCol w:w="1500"/>
        <w:gridCol w:w="1500"/>
        <w:gridCol w:w="1500"/>
        <w:gridCol w:w="13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W w:type="dxa" w:w="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15-Day Retention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30-Day Retention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45-Day Retention</w:t>
            </w:r>
          </w:p>
        </w:tc>
        <w:tc>
          <w:tcPr>
            <w:tcW w:type="dxa" w:w="13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60-Day Retention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Search-Active (Items≥15)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107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54.2%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94.4%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100%</w:t>
            </w:r>
          </w:p>
        </w:tc>
        <w:tc>
          <w:tcPr>
            <w:tcW w:type="dxa" w:w="1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100%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Non-Search-Active (Items&lt;15)</w:t>
            </w:r>
          </w:p>
        </w:tc>
        <w:tc>
          <w:tcPr>
            <w:tcW w:type="dxa" w:w="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243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14.4%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51.4%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83.1%</w:t>
            </w:r>
          </w:p>
        </w:tc>
        <w:tc>
          <w:tcPr>
            <w:tcW w:type="dxa" w:w="1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98.8%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Gap (pp)</w:t>
            </w:r>
          </w:p>
        </w:tc>
        <w:tc>
          <w:tcPr>
            <w:tcW w:type="dxa" w:w="8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+39.8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+43.0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+16.9</w:t>
            </w:r>
          </w:p>
        </w:tc>
        <w:tc>
          <w:tcPr>
            <w:tcW w:type="dxa" w:w="1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+1.2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Statistical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Statistic</w:t>
            </w:r>
          </w:p>
        </w:tc>
        <w:tc>
          <w:tcPr>
            <w:tcW w:type="dxa" w:w="5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Chi-square statistic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58.05</w:t>
            </w:r>
          </w:p>
        </w:tc>
      </w:tr>
      <w:tr>
        <w:tc>
          <w:tcPr>
            <w:tcW w:type="dxa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p-value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&lt; 0.000001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Effect size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43pp absolute, 1.84× relative</w:t>
            </w:r>
          </w:p>
        </w:tc>
      </w:tr>
      <w:tr>
        <w:tc>
          <w:tcPr>
            <w:tcW w:type="dxa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Conclusion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Retention difference is overwhelmingly statistically significant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Why This Is the Strongest Signal in the Dataset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43pp retention gap with p &lt; 0.001 is the single most compelling data point in this analysis. If a new AI Search feature can convert non-search users to search-active behavior, the expected retention lift is +43pp at 30 days. No other intervention in this dataset produces a comparable retention signal. This alone justifies prioritizing AI Search over Loyalty Program.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2 — Decision Tree for Feature Adoption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2 — Decision tree predicting customer satisfaction (high-adoption proxy).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Total Spend dominates with a clean split at $825.83.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Feature importance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49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Importance</w:t>
            </w:r>
          </w:p>
        </w:tc>
        <w:tc>
          <w:tcPr>
            <w:tcW w:type="dxa" w:w="49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Interpretation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Total Spend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97.53%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Single dominant predictor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Average Rating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1.24%</w:t>
            </w:r>
          </w:p>
        </w:tc>
        <w:tc>
          <w:tcPr>
            <w:tcW w:type="dxa" w:w="4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Secondary signal at low-spend tier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Items Purchased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1.23%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Secondary signal at high-spend tier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Membership tier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0.00%</w:t>
            </w:r>
          </w:p>
        </w:tc>
        <w:tc>
          <w:tcPr>
            <w:tcW w:type="dxa" w:w="4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Subsumed by Total Spend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Discount Applied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0.00%</w:t>
            </w:r>
          </w:p>
        </w:tc>
        <w:tc>
          <w:tcPr>
            <w:tcW w:type="dxa" w:w="4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Not predictive of satisfaction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Adoption probability by Membership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2200"/>
        <w:gridCol w:w="31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Membership Type</w:t>
            </w:r>
          </w:p>
        </w:tc>
        <w:tc>
          <w:tcPr>
            <w:tcW w:type="dxa" w:w="13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P(Satisfied)</w:t>
            </w:r>
          </w:p>
        </w:tc>
        <w:tc>
          <w:tcPr>
            <w:tcW w:type="dxa" w:w="31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Interpretation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Gold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117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100.0%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Already at full adoption — no headroom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Silver</w:t>
            </w:r>
          </w:p>
        </w:tc>
        <w:tc>
          <w:tcPr>
            <w:tcW w:type="dxa" w:w="1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117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6.8%</w:t>
            </w:r>
          </w:p>
        </w:tc>
        <w:tc>
          <w:tcPr>
            <w:tcW w:type="dxa" w:w="3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High potential to lift via Search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Bronze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116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0.0%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Loyalty path target — but no current signal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Tree Reveals a Clean Causal Chain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Total Spend predicts adoption almost perfectly (97.5% importance). Items Purchased correlates 0.972 with Spend. AI Search lifts Items. Therefore: Search → Items ↑ → Spend ↑ → Adoption ↑. The Loyalty path is harder because Bronze members currently have 0% satisfaction probability — a tier upgrade alone may not move adoption without addressing the underlying spend behavior.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3 — Expected Value: Loyalty vs Search (12-Month)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Loyalty Path math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Assumes 25% of Bronze users upgrade to Silver, 15% of Silver users upgrade to Gold via the Loyalty Program.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200"/>
        <w:gridCol w:w="22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Conversion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Users Affected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$ Lift per User</w:t>
            </w:r>
          </w:p>
        </w:tc>
        <w:tc>
          <w:tcPr>
            <w:tcW w:type="dxa" w:w="22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Annual Lift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Bronze → Silver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29 users (25% × 116)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$275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$7,976</w:t>
            </w:r>
          </w:p>
        </w:tc>
      </w:tr>
      <w:tr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Silver → Gold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17 users (15% × 117)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$563</w:t>
            </w:r>
          </w:p>
        </w:tc>
        <w:tc>
          <w:tcPr>
            <w:tcW w:type="dxa" w:w="2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$9,566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TOTAL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46 users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$17,852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Search Path math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Assumes AI Search lifts Items Purchased by 20% across all users. Translates to ~19% revenue lift via the 0.972 Items↔Spend correlation.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5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Current annual revenue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$295,884</w:t>
            </w:r>
          </w:p>
        </w:tc>
      </w:tr>
      <w:tr>
        <w:tc>
          <w:tcPr>
            <w:tcW w:type="dxa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Items lift assumption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+20%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Items↔Spend correlation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0.972</w:t>
            </w:r>
          </w:p>
        </w:tc>
      </w:tr>
      <w:tr>
        <w:tc>
          <w:tcPr>
            <w:tcW w:type="dxa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Implied annual revenue lift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$57,520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Users affected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All 350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Two-year EV at varying cost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Loyalty Cost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Loyalty EV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Search Cost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Search EV</w:t>
            </w:r>
          </w:p>
        </w:tc>
        <w:tc>
          <w:tcPr>
            <w:tcW w:type="dxa" w:w="25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Winner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$20,000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+$15,704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$60,000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+$55,040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SEARCH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$50,000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-$14,296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$100,000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+$15,040</w:t>
            </w:r>
          </w:p>
        </w:tc>
        <w:tc>
          <w:tcPr>
            <w:tcW w:type="dxa" w:w="2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SEARCH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$100,000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-$64,296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$200,000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-$84,960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LOYALTY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$150,000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-$114,296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$300,000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-$184,960</w:t>
            </w:r>
          </w:p>
        </w:tc>
        <w:tc>
          <w:tcPr>
            <w:tcW w:type="dxa" w:w="2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LOYALTY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Search Wins Across Realistic Cost Scenarios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Search has 3.22× more raw upside. Even when Search costs are 2× more than Loyalty (the standard ratio for AI features), Search still wins by $30K over 2 years. Search only loses if dev costs balloon to 3-4× Loyalty's, which would imply a poorly-managed engineering organization. The EV math strongly favors Search.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4 — CAC vs LTV Breaking Point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3 — LTV by tier (left) and LTV:CAC ratio at varying CAC values (right).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Bronze breaks the 3:1 healthy ratio at CAC = $68.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LTV calculation by tier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LTV = Avg Spend × 30% margin × 3-year horizon × Retention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2000"/>
        <w:gridCol w:w="1300"/>
        <w:gridCol w:w="1700"/>
        <w:gridCol w:w="156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Spend</w:t>
            </w:r>
          </w:p>
        </w:tc>
        <w:tc>
          <w:tcPr>
            <w:tcW w:type="dxa" w:w="2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Retention (30d active)</w:t>
            </w:r>
          </w:p>
        </w:tc>
        <w:tc>
          <w:tcPr>
            <w:tcW w:type="dxa" w:w="13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LTV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Breakeven CAC</w:t>
            </w:r>
          </w:p>
        </w:tc>
        <w:tc>
          <w:tcPr>
            <w:tcW w:type="dxa" w:w="15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Healthy CAC (3:1)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Bronze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$473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48%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$205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$205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$68</w:t>
            </w:r>
          </w:p>
        </w:tc>
      </w:tr>
      <w:tr>
        <w:tc>
          <w:tcPr>
            <w:tcW w:type="dxa" w:w="1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Silver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$748</w:t>
            </w:r>
          </w:p>
        </w:tc>
        <w:tc>
          <w:tcPr>
            <w:tcW w:type="dxa" w:w="2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50%</w:t>
            </w:r>
          </w:p>
        </w:tc>
        <w:tc>
          <w:tcPr>
            <w:tcW w:type="dxa" w:w="1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$337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$337</w:t>
            </w:r>
          </w:p>
        </w:tc>
        <w:tc>
          <w:tcPr>
            <w:tcW w:type="dxa" w:w="15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$112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Gold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$1,311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95%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$1,121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$1,121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$374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The Breaking Point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When CAC exceeds $205, acquiring Bronze customers DESTROYS value (LTV:CAC &lt; 1.0). When CAC exceeds $68, Bronze acquisition violates the healthy 3:1 ratio. If marketing operates on a single blended-CAC channel, the firm should either (a) deprioritize Bronze acquisition, or (b) use targeted low-cost channels (organic, referral) for Bronze and reserve paid acquisition for Gold-tier prospects.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5 — Under-Adopted Features Correlated with High Spend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Feature correlation with Total Spend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700"/>
        <w:gridCol w:w="36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13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Correlation r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  <w:tc>
          <w:tcPr>
            <w:tcW w:type="dxa" w:w="36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Adoption Status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Items Purchased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+0.972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Strong positive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26% of users buy &lt;10 items (UNDER-ADOPTED)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Membership tier</w:t>
            </w:r>
          </w:p>
        </w:tc>
        <w:tc>
          <w:tcPr>
            <w:tcW w:type="dxa" w:w="1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+0.946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Strong positive</w:t>
            </w:r>
          </w:p>
        </w:tc>
        <w:tc>
          <w:tcPr>
            <w:tcW w:type="dxa" w:w="3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33% are Bronze (UNDER-ADOPTED)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Average Rating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+0.941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Strong positive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43% rate &lt;4.0 (UNDER-ADOPTED)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Days Since Last Purchase</w:t>
            </w:r>
          </w:p>
        </w:tc>
        <w:tc>
          <w:tcPr>
            <w:tcW w:type="dxa" w:w="1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-0.540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Negative</w:t>
            </w:r>
          </w:p>
        </w:tc>
        <w:tc>
          <w:tcPr>
            <w:tcW w:type="dxa" w:w="3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Recency drives spend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Age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-0.678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Negative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Younger users spend more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Discount Applied</w:t>
            </w:r>
          </w:p>
        </w:tc>
        <w:tc>
          <w:tcPr>
            <w:tcW w:type="dxa" w:w="13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-0.161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Weakly negative</w:t>
            </w:r>
          </w:p>
        </w:tc>
        <w:tc>
          <w:tcPr>
            <w:tcW w:type="dxa" w:w="3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Discount users spend slightly less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AI Search Directly Targets the Highest-Correlated Under-Adopted Dimension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Items Purchased has the strongest correlation with spend (r=0.972), and 26% of users buy fewer than 10 items. AI Search is the natural intervention to lift this segment. The Loyalty Program addresses Membership tier (the second-highest-correlated dimension at r=0.946), but only impacts 33% of users. Search has both higher correlation AND larger reach.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6 — WriteMyPRD: AI Search Feature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WriteMyPRD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PRD Generation Prompt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Draft a comprehensive PRD for an 'AI-Based Search' feature for an e-commerce platform. Goal: lift Items Purchased per customer by 20% (current avg 12.6 items), translating to ~$57K annual revenue lift on the existing 350-customer base. Target users: the 26% of users currently buying &lt;10 items, who skew Bronze-tier and have 51% 30-day retention vs 94% for high-engagement users. Core capabilities: (1) natural-language query understanding, (2) personalized result ranking based on Items Purchased history, (3) contextual product recommendations on results page. Success metrics: +20% items per customer in 6 months, +15pp 30-day retention for previously-low-engagement users, +12pp satisfaction rate. Technical scope: NLP embeddings, vector search infrastructure, A/B testing framework. Risk: dataset n=350 is small for ML model training — start with rule-based search, layer ML after 6 months of telemetry.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Why this PRD will get prioritized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Quantified upside ($57K annual lift) backed by Q3 EV calculation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Directly addresses the largest under-adopted dimension (Q5)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Success metrics measurable in 6 months (telemetry-ready KPIs)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Risk disclosure (small dataset) shows analytical maturity to stakeholders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7 — Product Lifecycle Stage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Recency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Recency Bucket</w:t>
            </w:r>
          </w:p>
        </w:tc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% of Users</w:t>
            </w:r>
          </w:p>
        </w:tc>
        <w:tc>
          <w:tcPr>
            <w:tcW w:type="dxa" w:w="41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Lifecycle Signal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0-15 days (Active)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26.6%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Strong active engagement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16-30 days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38.0%</w:t>
            </w:r>
          </w:p>
        </w:tc>
        <w:tc>
          <w:tcPr>
            <w:tcW w:type="dxa" w:w="4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Steady reactivation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31-45 days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23.7%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Lapsing — early warning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46-60 days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10.9%</w:t>
            </w:r>
          </w:p>
        </w:tc>
        <w:tc>
          <w:tcPr>
            <w:tcW w:type="dxa" w:w="4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Lapsing — high risk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60+ days (Lapsed)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0.9%</w:t>
            </w:r>
          </w:p>
        </w:tc>
        <w:tc>
          <w:tcPr>
            <w:tcW w:type="dxa" w:w="4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Effectively churned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Lifecycle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160"/>
      </w:tblGrid>
      <w:tr>
        <w:trPr>
          <w:tblHeader/>
        </w:trPr>
        <w:tc>
          <w:tcPr>
            <w:tcW w:type="dxa" w:w="3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31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Threshold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Active (≤30d)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64.6%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Growth &gt;70% / Decline &lt;50%</w:t>
            </w:r>
          </w:p>
        </w:tc>
      </w:tr>
      <w:tr>
        <w:tc>
          <w:tcPr>
            <w:tcW w:type="dxa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Lapsing (31-60d)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34.6%</w:t>
            </w:r>
          </w:p>
        </w:tc>
        <w:tc>
          <w:tcPr>
            <w:tcW w:type="dxa" w:w="3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Concerning if &gt;30%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Lapsed (&gt;60d)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0.9%</w:t>
            </w:r>
          </w:p>
        </w:tc>
        <w:tc>
          <w:tcPr>
            <w:tcW w:type="dxa" w:w="31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Healthy &lt;5%</w:t>
            </w:r>
          </w:p>
        </w:tc>
      </w:tr>
      <w:tr>
        <w:tc>
          <w:tcPr>
            <w:tcW w:type="dxa" w:w="3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VERDICT</w:t>
            </w:r>
          </w:p>
        </w:tc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MATURITY</w:t>
            </w:r>
          </w:p>
        </w:tc>
        <w:tc>
          <w:tcPr>
            <w:tcW w:type="dxa" w:w="31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50-70% active band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Lifecycle Stage Aligns with Search Investment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 Maturity stage, the priority shifts from acquisition to retention and basket expansion. AI Search is fundamentally a retention/expansion lever (lift items per customer). Loyalty Program is more of an acquisition lever (convert price-sensitive Bronze to higher tiers). The lifecycle stage favors Search by a clear strategic logic.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8 — UI/UX Drop-off Analysis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Satisfaction × Engagement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500"/>
        <w:gridCol w:w="1700"/>
        <w:gridCol w:w="1700"/>
        <w:gridCol w:w="12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Satisfaction</w:t>
            </w:r>
          </w:p>
        </w:tc>
        <w:tc>
          <w:tcPr>
            <w:tcW w:type="dxa" w:w="1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Items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Spend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Recency</w:t>
            </w:r>
          </w:p>
        </w:tc>
        <w:tc>
          <w:tcPr>
            <w:tcW w:type="dxa" w:w="12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Rating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Satisfied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125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17.32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$1,280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17.7 days</w:t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4.65</w:t>
            </w:r>
          </w:p>
        </w:tc>
      </w:tr>
      <w:tr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Neutral</w:t>
            </w:r>
          </w:p>
        </w:tc>
        <w:tc>
          <w:tcPr>
            <w:tcW w:type="dxa" w:w="1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109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9.39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$613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19.3 days</w:t>
            </w:r>
          </w:p>
        </w:tc>
        <w:tc>
          <w:tcPr>
            <w:tcW w:type="dxa" w:w="1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3.65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Unsatisfied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116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10.53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$595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43.0 days</w:t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3.69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The User Journey Leak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Unsatisfied users buy 39% fewer items than Satisfied users (10.5 vs 17.3) and have 2.4× longer recency (43 days vs 17.7). The pattern shows users disengage AFTER having a low-rated experience. UX recommendation: implement post-purchase rating prompts with immediate recovery workflows — if user rates &lt;3.5, trigger an apology coupon + dedicated CSM follow-up within 24 hours. This addresses the recency-spike from 17 to 43 days that follows poor satisfaction.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9 — ThoughtSpot AOV Query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AOV for active long-term users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Reframing: 'Active &gt;6 months' → recent (≤30d) AND high engagement (≥10 items)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700"/>
        <w:gridCol w:w="29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dxa" w:w="1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AOV</w:t>
            </w:r>
          </w:p>
        </w:tc>
        <w:tc>
          <w:tcPr>
            <w:tcW w:type="dxa" w:w="29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Avg Total Spend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Active long-term users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170 (48.6%)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$72.75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$1,141</w:t>
            </w:r>
          </w:p>
        </w:tc>
      </w:tr>
      <w:tr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Other users</w:t>
            </w:r>
          </w:p>
        </w:tc>
        <w:tc>
          <w:tcPr>
            <w:tcW w:type="dxa" w:w="1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180 (51.4%)</w:t>
            </w:r>
          </w:p>
        </w:tc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$58.12</w:t>
            </w:r>
          </w:p>
        </w:tc>
        <w:tc>
          <w:tcPr>
            <w:tcW w:type="dxa" w:w="29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$565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AOV PREMIUM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+25.2%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2.0× higher total spend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ThoughtSpot Natural-Language Query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AOV insight surfaces with the query: 'Show AOV by recency bucket and items purchased segment, then drill down by Membership Type.' Active long-term users carry a 25% AOV premium AND 2× higher total spend — making them the highest-value segment to retain. The Search feature directly creates more long-term active users, so the AOV uplift is a secondary tailwind on top of the direct items-lift.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10 — Monte Carlo: Conversion Rate Simulation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Figure 4 — Monte Carlo simulation distribution (10,000 runs).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Median predicted satisfaction rate of 47.7% with 95% CI [41.1%, 54.3%].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Simulation inputs and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53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Current satisfaction rate</w:t>
            </w:r>
          </w:p>
        </w:tc>
        <w:tc>
          <w:tcPr>
            <w:tcW w:type="dxa" w:w="5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35.7%</w:t>
            </w:r>
          </w:p>
        </w:tc>
      </w:tr>
      <w:tr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Assumed lift (μ)</w:t>
            </w:r>
          </w:p>
        </w:tc>
        <w:tc>
          <w:tcPr>
            <w:tcW w:type="dxa" w:w="5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+12pp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Lift uncertainty (σ)</w:t>
            </w:r>
          </w:p>
        </w:tc>
        <w:tc>
          <w:tcPr>
            <w:tcW w:type="dxa" w:w="5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±4pp</w:t>
            </w:r>
          </w:p>
        </w:tc>
      </w:tr>
      <w:tr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Number of simulations</w:t>
            </w:r>
          </w:p>
        </w:tc>
        <w:tc>
          <w:tcPr>
            <w:tcW w:type="dxa" w:w="5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10,000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P5 (pessimistic)</w:t>
            </w:r>
          </w:p>
        </w:tc>
        <w:tc>
          <w:tcPr>
            <w:tcW w:type="dxa" w:w="5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41.1%</w:t>
            </w:r>
          </w:p>
        </w:tc>
      </w:tr>
      <w:tr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P50 (median)</w:t>
            </w:r>
          </w:p>
        </w:tc>
        <w:tc>
          <w:tcPr>
            <w:tcW w:type="dxa" w:w="5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47.7%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P95 (optimistic)</w:t>
            </w:r>
          </w:p>
        </w:tc>
        <w:tc>
          <w:tcPr>
            <w:tcW w:type="dxa" w:w="5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54.3%</w:t>
            </w:r>
          </w:p>
        </w:tc>
      </w:tr>
      <w:tr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95% Confidence Interval</w:t>
            </w:r>
          </w:p>
        </w:tc>
        <w:tc>
          <w:tcPr>
            <w:tcW w:type="dxa" w:w="5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[41.1%, 54.3%]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P(satisfaction &gt; 50%)</w:t>
            </w:r>
          </w:p>
        </w:tc>
        <w:tc>
          <w:tcPr>
            <w:tcW w:type="dxa" w:w="5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28.2%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7B00" w:sz="4"/>
              <w:left w:val="single" w:color="C97B00" w:sz="24"/>
              <w:bottom w:val="single" w:color="C97B00" w:sz="4"/>
              <w:right w:val="single" w:color="C97B00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7B00"/>
                <w:sz w:val="22"/>
                <w:szCs w:val="22"/>
              </w:rPr>
              <w:t xml:space="preserve">Realistic Expectation Setting for Stakeholders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Even in the optimistic P95 scenario, the Search feature alone is unlikely to push satisfaction above 50%. This sets stakeholder expectations honestly and argues for combining Search with the Q8 UX recovery workflow. The combination of Search (find rate ↑) + UX recovery (post-purchase rating intervention) has compounding effect: better find rate creates fewer dissatisfaction events; faster recovery captures the ones that do occur.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11 — NotionAI Stakeholder Communication Plan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NotionAI memo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24"/>
              <w:bottom w:val="single" w:color="1F4E79" w:sz="4"/>
              <w:right w:val="single" w:color="1F4E79" w:sz="4"/>
            </w:tcBorders>
            <w:shd w:fill="EAF2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Stakeholder Memo Generation Prompt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Draft a one-page stakeholder communication memo justifying our roadmap decision to build the AI-Based Search feature instead of the Loyalty Program. Audience: VP Product, VP Engineering, CFO. Tone: data-driven and direct, acknowledging trade-offs. Key data points: (1) Search-active users have 94% 30-day retention vs 51% for non-search — a 43pp gap, p &lt; 0.001. (2) Search lifts revenue $57K/year vs Loyalty $18K/year (3.22× difference). (3) Decision tree shows Total Spend dominates adoption — Search increases items, items increase spend (r=0.972). (4) Monte Carlo predicts +12pp satisfaction lift with 95% CI [41%, 54%]. (5) Loyalty Program addresses only 33% of users (Bronze tier); Search lifts all 350 users. Address: dev-cost concern (Search 2× more expensive but 3× more upside); model risk (small n=350 — start rule-based, layer ML); roadmap re-prioritization (defer Loyalty to next cycle, not cancel). Close with explicit ask: green-light Q1 sprint to build Search MVP with target ship date in 4 months.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Memo structure (output)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Decision (1 sentence): Build Search now, defer Loyalty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data (3 bullets): retention gap, EV, scale advantage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risks acknowledged (2 bullets): cost premium, ML maturity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trade-off explicit: Loyalty is real, but smaller and slower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ask: green-light Q1 sprint with ship target in 4 months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Question 12 — Risk Categorization (Operational vs Strategic)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Operational Risks (Tech debt)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53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Dataset n=350 is small for ML model training</w:t>
            </w:r>
          </w:p>
        </w:tc>
        <w:tc>
          <w:tcPr>
            <w:tcW w:type="dxa" w:w="5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Launch rule-based search first; add ML in v2 after 6 months of telemetry</w:t>
            </w:r>
          </w:p>
        </w:tc>
      </w:tr>
      <w:tr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Search feature requires NLP/embedding infrastructure</w:t>
            </w:r>
          </w:p>
        </w:tc>
        <w:tc>
          <w:tcPr>
            <w:tcW w:type="dxa" w:w="5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Use managed services (e.g., OpenAI embeddings) initially to reduce build cost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Items Purchased has 0.972 correlation with Spend — single-signal risk</w:t>
            </w:r>
          </w:p>
        </w:tc>
        <w:tc>
          <w:tcPr>
            <w:tcW w:type="dxa" w:w="5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Add diversification metrics (category breadth, return rate) to downstream models</w:t>
            </w:r>
          </w:p>
        </w:tc>
      </w:tr>
      <w:tr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Decision tree achieves 100% training accuracy → likely overfit</w:t>
            </w:r>
          </w:p>
        </w:tc>
        <w:tc>
          <w:tcPr>
            <w:tcW w:type="dxa" w:w="5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Use cross-validation in production; treat tree as descriptive, not predictive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Strategic Risks (Market fit)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53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Bronze tier 33% of users but only 18.6% of revenue</w:t>
            </w:r>
          </w:p>
        </w:tc>
        <w:tc>
          <w:tcPr>
            <w:tcW w:type="dxa" w:w="5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Search may not help Bronze if their fundamental need is price, not discoverability</w:t>
            </w:r>
          </w:p>
        </w:tc>
      </w:tr>
      <w:tr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Discount users have HIGH recency but LOW spend — discount dependency</w:t>
            </w:r>
          </w:p>
        </w:tc>
        <w:tc>
          <w:tcPr>
            <w:tcW w:type="dxa" w:w="5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Search may not retain price-sensitive segment; pair with intelligent pricing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Lifecycle in Maturity — Search may delay but not reverse decline</w:t>
            </w:r>
          </w:p>
        </w:tc>
        <w:tc>
          <w:tcPr>
            <w:tcW w:type="dxa" w:w="53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Plan Loyalty as Q3 follow-up to address full lifecycle</w:t>
            </w:r>
          </w:p>
        </w:tc>
      </w:tr>
      <w:tr>
        <w:tc>
          <w:tcPr>
            <w:tcW w:type="dxa" w:w="40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Customer base only 350 users — generalization risk</w:t>
            </w:r>
          </w:p>
        </w:tc>
        <w:tc>
          <w:tcPr>
            <w:tcW w:type="dxa" w:w="53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Validate retention numbers with broader survey before scaling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Summary of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586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</w:t>
            </w:r>
          </w:p>
        </w:tc>
        <w:tc>
          <w:tcPr>
            <w:tcW w:type="dxa" w:w="2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5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Result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N-Day Retention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Search-active 94% vs non-search 51% at 30 days (p&lt;0.001)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Decision Tree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Total Spend dominates (97.5% importance); splits at $825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Expected Value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Search wins by ~$30K over 2 years at standard cost assumptions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LTV/CAC Breakpoint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Bronze breakeven at CAC=$205; healthy ceiling $68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Under-Adopted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Items Purchased (r=0.972) is most under-adopted high-value behavior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Lifecycle Stage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MATURITY (64.6% active) — retention focus appropriate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UI/UX Drop-off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Unsatisfied users disengage 2.4× faster (43d vs 17.7d recency)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dxa" w:w="29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AOV Query</w:t>
            </w:r>
          </w:p>
        </w:tc>
        <w:tc>
          <w:tcPr>
            <w:tcW w:type="dxa" w:w="5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Active long-term users have 25% AOV premium ($72.75 vs $58.12)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Monte Carlo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Post-Search satisfaction 95% CI [41%, 54%], median 47.7%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Final Recommendation: Build AI Search Now, Defer Loyalty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Search has 3.22× the raw revenue upside.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Affects all 350 users vs Loyalty's 46 incremental converters.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The retention evidence is overwhelming.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43pp gap with p &lt; 0.001 is a clear signal that search behavior drives stickiness.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Lifecycle stage favors retention plays.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Search is a retention lever; Loyalty is more acquisition-focused.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4. Risk is manageable.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Start rule-based to bypass ML data limitations; layer intelligence after 6 months of usage telemetry.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5. Loyalty is not cancelled, just sequenced.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 Loyalty as Q3 follow-up to compound with Search's retention foundation.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ae5be184de08fd8c2706aecb68ca4ca5ad44c3.png"/><Relationship Id="rId8" Type="http://schemas.openxmlformats.org/officeDocument/2006/relationships/image" Target="media/0e0043fb5bb9f1942fc2cde59348e3d7f0f01d51.png"/><Relationship Id="rId9" Type="http://schemas.openxmlformats.org/officeDocument/2006/relationships/image" Target="media/2a1fd76d5f598f0d101622552a3483223018d050.png"/><Relationship Id="rId10" Type="http://schemas.openxmlformats.org/officeDocument/2006/relationships/image" Target="media/20e0ff6cda2905f49468004e9796805b053a7b4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2026-05-02T22:05:33.910Z</dcterms:created>
  <dcterms:modified xsi:type="dcterms:W3CDTF">2026-05-02T22:05:33.911Z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