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4A437"/>
          <w:sz w:val="20"/>
          <w:szCs w:val="20"/>
        </w:rPr>
        <w:t xml:space="preserve">TECHNICAL DOCUMENT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Notebook walkthrough · methodology · findings</w:t>
      </w:r>
    </w:p>
    <w:p>
      <w:pPr>
        <w:pBdr>
          <w:bottom w:val="single" w:color="D4A437" w:sz="12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LOAN PORTFOLIO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STRESS TEST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Companion document to the executable Jupyter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Loss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VaR(99%)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$32.58B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11.61%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$2.27B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$2.61B</w:t>
            </w:r>
          </w:p>
        </w:tc>
      </w:tr>
    </w:tbl>
    <w:p>
      <w:pPr>
        <w:spacing w:after="2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Track 3: Risk &amp; Financial Analysis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Frameworks: Monte Carlo · Sensitivity Analysis · Expected Value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How to Use This Document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document is the written companion to the executable Jupyter notebook Loan_Portfolio_Stress_Test.ipynb. The notebook contains the live code that produces every number in this report; this document explains what each section does, why the analytical choices were made, and how the findings translate into board-level action.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Files in the Submission</w:t>
      </w:r>
    </w:p>
    <w:p>
      <w:pPr>
        <w:spacing w:after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Loan_Portfolio_Stress_Test.ipynb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Executable notebook — Q1 to Q12, end-to-end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Notebook_Walkthrough.docx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This document — narrative &amp; methodology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Loan_Stress_Test_Report.docx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Formal regulatory-board report (long form)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loan_cleaned.csv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Output of Q10 cleaning pipeline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risk_heatmap_data.csv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Q9 data ready for Microsoft Fabric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results.json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numerical results (machine-readable)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Reproducing the Analysis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Place Loan_default.csv in the same directory as the notebook and run all cells. Total runtime is approximately 2 minutes on a standard laptop. The notebook uses only standard scientific-Python libraries (numpy, pandas, scipy, scikit-learn, matplotlib) — no external services or API keys are required.</w:t>
      </w:r>
    </w:p>
    <w:p>
      <w:pPr>
        <w:pBdr>
          <w:left w:val="single" w:color="1B3A6B" w:sz="18" w:space="8"/>
        </w:pBdr>
        <w:shd w:fill="F5F5F5" w:val="clear"/>
        <w:spacing w:after="80" w:before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jupyter notebook Loan_Portfolio_Stress_Test.ipynb
# or
jupyter nbconvert --to notebook --execute Loan_Portfolio_Stress_Test.ipynb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Notebook Structure (33 cells, 12 sections)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Setup &amp; data load — verify portfolio shape and basic statistics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Q10 — Data cleaning (placed first because all downstream cells depend on it)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Q1 — Expected Value calculation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Q2 — NIM sensitivity &amp; breaking-point analysis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Q4 — Employment-tenure correlation analysis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Q3 — Monte Carlo simulation (10,000 iterations)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Q7 — Value at Risk and Expected Shortfall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Q8 — Loan Modification Program decision tree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Q9 — Risk heatmap by Loan Purpose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Q5, Q6, Q11 — Risk categorisation, Akkio workflow, Lean improvements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Q12 — Summary table &amp; board action items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Methodology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Three quantitative frameworks underpin the entire analysis. Each is briefly defined below; the notebook contains the full implementation.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Expected Value (EV)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Each loan has two outcomes: the borrower performs (probability 1−PD), in which case the bank earns interest income, or the borrower defaults (probability PD), in which case the bank loses a fraction LGD of the principal. The EV per loan is the probability-weighted balance:</w:t>
      </w:r>
    </w:p>
    <w:p>
      <w:pPr>
        <w:pBdr>
          <w:left w:val="single" w:color="1B3A6B" w:sz="18" w:space="8"/>
        </w:pBdr>
        <w:shd w:fill="F5F5F5" w:val="clear"/>
        <w:spacing w:after="80" w:before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EV per loan = (1 − PD) × Interest Income − PD × LGD × Loan Amount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Aggregating across all 255,347 loans produces a single, comparable measure of portfolio worth.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Sensitivity Analysis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Net Interest Margin (NIM) is a linear function of the cost of funds. Setting NIM = 0 yields the breaking-point cost of funds — the level above which every additional dollar lent destroys economic value at the margin. The relationship is fully analytical:</w:t>
      </w:r>
    </w:p>
    <w:p>
      <w:pPr>
        <w:pBdr>
          <w:left w:val="single" w:color="1B3A6B" w:sz="18" w:space="8"/>
        </w:pBdr>
        <w:shd w:fill="F5F5F5" w:val="clear"/>
        <w:spacing w:after="80" w:before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NIM(COF) = Avg Yield − COF − Annual Credit-Loss Rate
Breaking-point COF = Avg Yield − Annual Credit-Loss Rate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Monte Carlo Simulation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Where EV produces a single point estimate, Monte Carlo produces a full distribution of possible outcomes. The simulation logic: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1 — Fit a logistic regression on observable borrower features to produce a borrower-specific PDᵢ for every loan.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2 — For each of 10,000 iterations, draw a Bernoulli random variable for every loan with probability PDᵢ. A draw of 1 means default; the loss for that loan is LoanAmountᵢ × LGD.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3 — Sum losses across all 255,347 loans → one realised "Total Default Loss" per iteration.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4 — The collection of 10,000 totals constitutes the empirical loss distribution. Tail risk metrics (VaR, Expected Shortfall) are extracted as percentiles of this distribution.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Implementation Note — Memory Management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naive vectorisation would require a 10,000 × 255,347 boolean array (~2.5 billion cells). The notebook chunks the simulation into batches of 500 iterations, draws uniforms shape (500, 255347), compares against PDᵢ, and aggregates to a (500,) loss vector via matrix multiplication. Peak memory stays under 1 GB and total runtime is approximately 30 seconds.</w:t>
      </w:r>
    </w:p>
    <w:p>
      <w:pPr>
        <w:pBdr>
          <w:left w:val="single" w:color="1B3A6B" w:sz="18" w:space="8"/>
        </w:pBdr>
        <w:shd w:fill="F5F5F5" w:val="clear"/>
        <w:spacing w:after="80" w:before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start in range(0, N_SIM, chunk):
    u = rng.random((chunk, n_loans), dtype=np.float32)
    defaults = u &lt; pd_vec
    total_losses[start:start+chunk] = defaults @ exposures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Standing Assumptions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Loss Given Default (LGD)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60% — industry standard for unsecured/mixed retail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Probability of Default (PD)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11.61% (historical) or borrower-specific from logistic model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Interest income recognition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Simple interest over contractual loan life, undiscounted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Default correlation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Independent (i.i.d.) across borrowers — see limitations below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Recovery timing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Instantaneous (no time-value adjustment to recoveries)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Monte Carlo simulation assumes independent borrower defaults. Under recession scenarios defaults are positively correlated, which would widen the loss distribution. The regulatory submission applies a 2× multiplier on (Expected Shortfall − VaR) to capture this.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LGD is assumed constant at 60%. In reality LGD varies by loan purpose (lower for collateralised auto/home, higher for unsecured) and by macro conditions (rises in downturns). LGD-sensitivity analysis is straightforward to add.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dataset is a static snapshot. True forward-year simulation would draw PDs from a macro-conditional distribution; here we treat historical PD as the forward base case.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Income and LoanAmount are uniformly distributed in this dataset (skewness ≈ 0). Real loan books exhibit pronounced right-skew. Conclusions about cleaning workflow generalise to production data; specific skewness-treatment numbers do not.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Results Walkthrough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Q1 — Portfolio Expected Value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exposure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$32.58B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expected interest income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$13,198,324,418.427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expected credit loss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$2,269,857,659.424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Portfolio Expected Value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$9,395,768,454.423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 / exposure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28.84%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Reading: Expected interest income ($13.2B over the loan lives) exceeds expected credit losses ($2.27B) by a factor of approximately 5.8×. This is the headroom that absorbs unexpected losses in adverse scenarios. The 28.84% lifetime EV margin is consistent with a healthy, profitable consumer book.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Q2 — NIM Breaking Point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Weighted-average loan yield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13.48%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Annualised credit-loss rate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2.32%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Breaking-point Cost of Funds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11.16%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Reading: The portfolio remains profitable at the margin until the cost of funds reaches 11.16%. With current funding costs in the 4–6% range, the bank holds 500–700 basis points of cushion. Treasury should set a soft trigger at COF = 7.50% (enhanced hedging) and a hard trigger at 9.00% (contingency funding plan).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Q4 — Employment Length vs Default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Reading: Linear correlation is weak (Pearson r = -0.097), but the bucketed view shows a clear monotonic decline in default rate from 16.91% (0–1y tenure) to 8.07% (7+ years). The Pearson coefficient understates the relationship because of the high variance inherent in default outcomes. The signal is strong enough to justify tenure-based pricing tiers.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Q3 — Monte Carlo Simulation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Mean simulated loss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$2,571,272,509.363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$14,668,885.678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5th percentile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$2,547,038,156.8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Median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$2,571,233,024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95th percentile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$2,595,494,464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99th percentile (= VaR)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$2,605,062,223.36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99.9th percentile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$2,616,164,182.784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Reading: The empirical loss distribution is approximately Gaussian with a coefficient of variation of about 0.6%. This narrowness reflects the law of large numbers — across a quarter-million independent Bernoulli draws, idiosyncratic risk diversifies away. Under correlated-default stress (recession), the distribution would shift right and widen substantially.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Q7 — Value at Risk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VaR (99%)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$2,605,062,223.36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Expected Shortfall (CVaR 99%)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$2,609,801,912.32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Unexpected-loss buffer required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$33,789,713.997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VaR / portfolio exposure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8.00%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Reading: VaR(99%) of $2.61B is the binding capital floor. The unexpected-loss buffer (VaR minus mean) is the additional capital required beyond the provisioned expected loss. The narrow ES − VaR gap reflects independent-default assumptions and is widened by the regulatory stress overlay.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Q8 — Loan Modification Decision Tree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Reading: For the 63,837 at-risk borrowers (top quartile by predicted PD), cutting the rate by 3pp — and assuming this triggers a 30% relative reduction in PD — improves portfolio EV by $156M. The decision is conditional on the behavioural response: any realised PD reduction below 24% destroys value.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Recommended implementation: pilot on a 10% randomised subset for two quarters, measure realised PD response, scale only if the 24% threshold is met or exceeded.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Q9 — Risk Heatmap by Loan Purpose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Reading: Loan purposes are nearly uniformly distributed across the portfolio. Default rates vary in a 200-basis-point band, with Home loans materially safer (10.23%) than Business loans (12.33%). The spread justifies differentiated pricing — Business and Auto loans should carry a 25–35 bp risk premium versus Home loans for equivalent borrower credit profiles.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Q10 — Data Cleaning Diagnostics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830"/>
        <w:gridCol w:w="2830"/>
      </w:tblGrid>
      <w:tr>
        <w:trPr>
          <w:tblHeader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Skewness Before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Skewness After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Income (raw → log1p)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-0.0004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-0.7721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LoanAmount (raw → log1p)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-0.0018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-1.2077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Reading: The dataset is synthetic — Income and LoanAmount are uniformly distributed. The cleaning pipeline (winsorise + log1p) is documented for the production case where right-skew is the norm.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Headline Findings &amp; Recommendations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What the Numbers Say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portfolio is profitable in expectation ($9.40B EV) with a healthy 28.84% lifetime margin.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Annual default loss in the central case is $2.57B; a 99% confidence stress yields $2.61B.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Net Interest Margin remains positive until cost of funds reaches 11.16% — a 500–700bp cushion over current levels.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 risk is unequally distributed — the top quartile of borrowers by predicted PD concentrates a disproportionate share of expected loss.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Loan-purpose default rates vary by 200 basis points (Home safest at 10.23%; Business riskiest at 12.33%) — sufficient to justify differentiated pricing.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Employment tenure is a meaningful underwriting signal despite a low linear correlation; the 0–1 year tenure cohort defaults at twice the rate of the 7+ year cohort.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Board Action Items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Adopt VaR(99%) = $2.61B as credit-risk capital floor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CRO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Authorise Loan Modification Program (pilot 10%)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 of Credit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 quarter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Hedge funding-cost exposure ≥ 200 bps cushion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Treasurer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Akkio PD model (Tier-2 governance)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 of Risk Analytics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Publish MS Fabric Risk Heatmap (monthly cadence)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 of Risk Reporting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Lean kaizen on top-4 origination sub-processes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COO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Risk Appetite Statement (Recommended)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 Limit (Trigger Review)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Limit (Mandatory Action)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Annual default loss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$2,595,494,464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$2,605,062,223.36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Cost of funds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7.50%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9.00%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Single-purpose concentration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25% of exposure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30% of exposure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Top-quartile-PD share of book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20% of loans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25% of loans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 error rate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0.30% of applications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0.50% of applications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Closing Statement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portfolio is presently within risk tolerance with material headroom. The principal forward-looking exposures are (i) funding-cost shocks above the breaking point, (ii) correlated-default stress under recession scenarios, and (iii) operational-error losses in origination. Each is addressed by a specific action item in the table above. The recommendations are consistent with the bank's stated risk appetite and capital-adequacy framework.</w:t>
      </w:r>
    </w:p>
    <w:p>
      <w:pPr>
        <w:spacing w:after="300"/>
      </w:pPr>
      <w:r>
        <w:t xml:space="preserve"/>
      </w:r>
    </w:p>
    <w:p>
      <w:pPr>
        <w:spacing w:after="12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437" w:sz="6" w:space="1"/>
      </w:pBdr>
      <w:jc w:val="right"/>
    </w:pPr>
    <w:r>
      <w:rPr>
        <w:rFonts w:ascii="Arial" w:cs="Arial" w:eastAsia="Arial" w:hAnsi="Arial"/>
        <w:color w:val="1B3A6B"/>
        <w:sz w:val="18"/>
        <w:szCs w:val="18"/>
      </w:rPr>
      <w:t xml:space="preserve">Notebook Walkthrough</w:t>
    </w:r>
    <w:r>
      <w:rPr>
        <w:rFonts w:ascii="Arial" w:cs="Arial" w:eastAsia="Arial" w:hAnsi="Arial"/>
        <w:i/>
        <w:iCs/>
        <w:color w:val="A0A0A0"/>
        <w:sz w:val="18"/>
        <w:szCs w:val="18"/>
      </w:rPr>
      <w:t xml:space="preserve">   |   Loan Portfolio Stress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4A4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ea389425b0a4c63d22f293c1e08f6611ac5436.png"/><Relationship Id="rId10" Type="http://schemas.openxmlformats.org/officeDocument/2006/relationships/image" Target="media/9c0fdd68dfd7a875fa62b240ef25d96082f7d538.png"/><Relationship Id="rId11" Type="http://schemas.openxmlformats.org/officeDocument/2006/relationships/image" Target="media/c6035784e371fa55bbe159e541c26eb4d7354354.png"/><Relationship Id="rId12" Type="http://schemas.openxmlformats.org/officeDocument/2006/relationships/image" Target="media/2db0fd6120d08ac6071fbf9d07dbf9255fcbd42f.png"/><Relationship Id="rId13" Type="http://schemas.openxmlformats.org/officeDocument/2006/relationships/image" Target="media/947f00b15fcee75f454515bd053df86cb565f88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Portfolio Stress Test — Notebook Walkthrough</dc:title>
  <dc:creator>Risk Analytics</dc:creator>
  <cp:lastModifiedBy>Un-named</cp:lastModifiedBy>
  <cp:revision>1</cp:revision>
  <dcterms:created xsi:type="dcterms:W3CDTF">2026-05-02T22:58:44.217Z</dcterms:created>
  <dcterms:modified xsi:type="dcterms:W3CDTF">2026-05-02T22:58:44.217Z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