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4A437"/>
          <w:sz w:val="20"/>
          <w:szCs w:val="20"/>
        </w:rPr>
        <w:t xml:space="preserve">NOTEBOOK WALKTHROUGH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Companion to Last_Mile_Logistics_Analysis.ipynb</w:t>
      </w:r>
    </w:p>
    <w:p>
      <w:pPr>
        <w:pBdr>
          <w:bottom w:val="single" w:color="D4A437" w:sz="12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LAST-MILE LOGISTICS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ANALYSIS WALKTHROUGH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How to read the notebook and what each section means for the business</w:t>
      </w:r>
    </w:p>
    <w:p>
      <w:pPr>
        <w:spacing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Track 1: The Analyst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Companion document — pair with the Strategic Report for board 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How to Use This Document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walkthrough is the companion to the Jupyter notebook Last_Mile_Logistics_Analysis.ipynb. It is for stakeholders who need to understand what the analysis says, why it says it, and what to do about it — without running the code themselves.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Read this document alongside the notebook. The notebook is the source of truth (every number is recomputed from the raw data); this document gives you the narrative and the business reading.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Three companion documents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Last_Mile_Logistics_Analysis.ipynb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executable notebook — every number recomputed from the source data. 37 cells.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Track1_Walkthrough.docx (this file)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Plain-language walkthrough of every section in the notebook with the business reading.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Track1_Strategic_Report.docx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Board-ready strategic report covering all 12 deliverable questions in formal language.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What each audience should read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this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Skim this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Board / Exec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Strategic Report (Sections 1, 12)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Walkthrough Sections 4–6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Notebook code cells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Operations leadership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Strategic Report Sections 1, 6, 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Walkthrough Sections 2–7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BRD/FRD detail (Q2, Q3)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/ 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Strategic Report Sections 2, 3, 4, 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Walkthrough technical sections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basket 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Strategic Report Sections 5, 9, 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Walkthrough Sections 4 and 6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BPMN diagrams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Analyst (peer review)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notebook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Walkthrough Sections 1–7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Methodology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analysis follows a tight loop: diagnose the operational problem from data → translate it into business and functional requirements → quantify the financial impact → propose the re-engineered process. Every claim in the Strategic Report is backed by a numerical result in the notebook.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Dataset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Source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DataCo Smart Supply Chain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Records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180,519 orders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Columns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 range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January 2015 → September 2017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Markets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(LATAM, Europe, Pacific Asia, USCA, Africa)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Order regions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Consumer, Corporate, Home Office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Encoding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ISO-8859-1 (handled in loader)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Data Cleaning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Dropped Order Zipcode (86% missing) and Product Description (100% missing) — they carry no signal.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Parsed order date (DateOrders) and shipping date (DateOrders) to datetime; computed lead variance = real − scheduled days.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Confirmed only 4 columns have any missing values; the 11 missing Lname/Zipcode rows are immaterial for the aggregate analysis.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dataset is operational, not synthetic — distributions match real-world skews (revenue heavy-tailed, late-rate mode-dependent).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Stated Assumptions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Two analyses required assumptions where the dataset was incomplete. Both are clearly stated and conservative.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Justification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 shipping cost by mode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Q5 Contribution Margin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SD $14, F $9, Sec $6, Std $3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Industry-aligned last-mile tier pricing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Fuel = % of shipping cost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Q9 Unit Economics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Industry benchmark for last-mile fleet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Enterprise CAC baseline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Q9 CAC payback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$1,200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B2B logistics benchmark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Lifetime deliveries (Corp)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Q9 CAC payback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240 (~20/mo × 12 mo)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Conservative — industry typical 18–24 months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Sensitivity tab on the team's internal model lets stakeholders flex these assumptions; results in this report use the central case.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Results Walkthrough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section walks the notebook from top to bottom. Each subsection corresponds to a notebook section and explains: what the cell computes, what number it returns, and how to read that number in business terms.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1 — Bottleneck Diagnostics (notebook Q1)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first analytical block establishes that 54.83% of all deliveries arrive late. The breakdown by Shipping Mode is the diagnostic insight: faster modes fail more.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Reading: First Class is late 95.3% of the time, Second Class 76.6%, Standard Class 38.1%. The pattern reveals that the warehouse → fleet handoff is paper-based and has no buffer — when SLAs tighten, the manual handoff becomes the single point of failure. Standard Class survives because it has a 4-day buffer; First Class has 1 day, which is consumed entirely by handoff friction.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Business action: this is the headline diagnostic that justifies the entire RTRO build (Strategic Report Section 2).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2 — BPMN As-Is (notebook Q1 visualisation)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Reading: the red dashed callout flags the Warehouse → Fleet handoff. This is the bottleneck the data points to. The mode gateway after "Stage for Dispatch" is where the failure cascades — Same Day, First Class, and Second Class all flow through the same broken handoff with progressively less buffer.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3 — Contribution Margin (notebook Q5)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CM per delivery = Gross Margin − Variable Shipping Cost. The portfolio-average is $16.87, but it varies sharply by mode.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Reading: Standard Class earns $19.00 per delivery; Same Day earns only $6.85. The firm is subsidising Same Day by approximately $12 per order. Same Day must either be repriced or restricted — the Lean Six Sigma improvement (Section 6) takes the restriction route.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4 — Unit Economics under Fuel Shock (notebook Q9)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+10% fuel cost increase translates to a +3% shipping cost increase (assuming fuel = 30% of shipping cost). The Corporate segment CM falls from $16.85 to $16.69 per delivery — a delta of −$0.15.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Reading: while $0.15 per order seems trivial, it extends CAC payback from 71.2 to 71.9 deliveries (+0.92%) and reduces lifetime CM by $37 per Corporate client. Aggregated across 54,789 Corporate orders annually, this is a ~$2M margin hit — material enough to justify a contractual fuel-surcharge clause.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Business action: insert a fuel-surcharge clause in all new and renewing Corporate contracts (Strategic Report Section 9 mitigation).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5 — Dead-Head Proxy (notebook Q6)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Dead-head miles cannot be measured directly without GPS traces; we use a defensible proxy — shipments where an expedited mode (Same Day or First Class) is used to fulfil a low-value order (bottom quartile by Order Item Total).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Reading: 9,405 orders annually (5.21%) are economically inefficient — premium dispatch cost, no commensurate revenue. Annualised wasted shipping cost: $97,185. The Lean Six Sigma DMAIC improvement is to apply a minimum-order-value rule before allowing expedited mode selection.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6 — Market Basket (notebook Q11)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Treating each customer's set of Order Regions as a basket and counting co-occurring pairs surfaces the firm's real cross-border traffic patterns.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Reading: the dominant lane is Central America ↔ Western Europe (3,212 customers, lift 1.31). All top 10 pairs have lift &gt; 1.25 — these are real route clusters, not random co-occurrence. Central America appears in 7 of the top 10 pairs, marking it as a regional hub for cross-border vendors.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Business action: consolidate the top 5 lanes into named "trade corridors" with dedicated capacity, contracted carriers, and bundled pricing. Pilot with the Western Europe ↔ Central America corridor.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7 — Strategic Synthesis (notebook Q12)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final analytical block maps each shipping mode on a 2-D plane (speed vs efficiency) and proposes a portfolio mix that explicitly balances both objectives.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Reading: Standard Class is the efficiency anchor ($19 CM, 4 days); Same Day is the speed anchor ($6.85 CM, 0.5 days). The dashed line is the firm's current operational frontier. The recommended portfolio mix (60/25/12/3 — Standard/Second/First/Same Day) holds CM while reducing exposure to the failed premium tiers, then absorbs the recovered capacity into Second Class via the new AI Sortation Center.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Headline Findings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Six findings stand out from the analysis. They are listed in order of business priority — top of the list is the most urgent operational signal.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1. Premium tiers fail; cheap tier works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First Class deliveries arrive late 95.3% of the time. Standard Class is late only 38.1% of the time. The root cause is the Warehouse → Fleet handoff — a manual scan with paper manifest. The handoff has no buffer, so tighter SLAs fail catastrophically while looser SLAs absorb the friction.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2. Same Day is a margin destroyer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Same Day shipments earn $6.85 of CM versus $19.00 for Standard Class. The firm is subsidising Same Day by ~$12 per order. The Lean Six Sigma fix is a minimum-order rule ($200 for Same Day, $100 for First Class) — without this, every additional Same Day order burns margin.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3. Fuel volatility is unhedged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current contract base does not pass through fuel cost increases to enterprise clients. A modest 10% fuel hike costs the firm approximately $2M per year in absorbed margin. A simple fuel-surcharge clause indexed to a published benchmark eliminates this leak.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4. Dead-head spend is concentrated and identifiable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5.21% of shipments (~9,400 orders/year) are economically inefficient: low-value orders dispatched via expedited modes. Annualised cost: $97,185. These are concentrated in Western Europe and Central America — the same regions that dominate the cross-border lane analysis (point 5).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5. Real route-clustering exists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Top region pair: Central America ↔ Western Europe (3,212 customers, lift 1.31). All top 10 pairs have lift &gt; 1.25 — these are not random co-occurrence. The firm should formalise these as "trade corridors" with dedicated capacity and contracted carriers, and offer bundled pricing to customers shipping both directions.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6. The to-be process is operationally feasible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proposed re-engineering — AI Sortation Center inside the warehouse, dedicated Route Optimizer service, digital handoff via REST API — uses commercially available components (LucidChartAI for design, off-the-shelf OR solvers for routing, OAuth/JWT for authentication). The 4-week MVP sprint plan (BRD Section 4) demonstrates that a working pilot is reachable inside a quarter.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Board Action Items</w:t>
      </w:r>
    </w:p>
    <w:p>
      <w:pPr>
        <w:pBdr>
          <w:bottom w:val="single" w:color="D4A437" w:sz="12" w:space="1"/>
        </w:pBdr>
        <w:spacing w:after="200" w:before="80"/>
      </w:pPr>
      <w:r>
        <w:t xml:space="preserve"/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following decisions are sought from the Board to enable Q1 implementation.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200"/>
        <w:gridCol w:w="21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Sought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Real-Time Route Optimization (RTRO) build — funded for one pilot region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VP Operations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/ Reject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fuel-surcharge clause in Corporate contracts (70% pass-through)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CFO + Legal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/ Reject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Same Day minimum-order rule ($200) and First Class ($100)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 of Sales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/ Defer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trade-corridor pilot: Western Europe ↔ Central America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VP Operations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/ Reject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Kissflow Driver Onboarding workflow rollout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 of HR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/ Reject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Note risks and mitigations in BRD Section 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Board (collective)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RTRO MVP delivered for Western Europe pilot region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Engineering team (existing) + 2 contract devs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Sortation Center go-live; Same Day minimum-order rule live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Capex: sortation hardware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Fuel-surcharge clause rolled out; Driver Onboarding live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Legal review + contract amendments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RTRO rollout; trade-corridor consolidation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Phased per region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Risk Appetite Statement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The Board notes that this re-engineering programme involves operational change at scale. The expected benefits — late-rate from 54.83% to under 10%, +25% driver utilisation, ~$2M annual margin protection — materially outweigh the build cost and integration risk. The Board approves a controlled-pace rollout with a pilot region before global deployment, and accepts the risks documented in BRD Section 8 as falling within the firm's stated risk appetite for operational transformation initiatives.</w:t>
      </w:r>
    </w:p>
    <w:p>
      <w:pPr>
        <w:spacing w:after="300"/>
      </w:pPr>
      <w:r>
        <w:t xml:space="preserve"/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— END OF WALKTHROUGH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437" w:sz="6" w:space="1"/>
      </w:pBdr>
      <w:jc w:val="right"/>
    </w:pPr>
    <w:r>
      <w:rPr>
        <w:rFonts w:ascii="Arial" w:cs="Arial" w:eastAsia="Arial" w:hAnsi="Arial"/>
        <w:color w:val="1B3A6B"/>
        <w:sz w:val="18"/>
        <w:szCs w:val="18"/>
      </w:rPr>
      <w:t xml:space="preserve">Last-Mile Logistics — Notebook Walkthrough</w:t>
    </w:r>
    <w:r>
      <w:rPr>
        <w:rFonts w:ascii="Arial" w:cs="Arial" w:eastAsia="Arial" w:hAnsi="Arial"/>
        <w:i/>
        <w:iCs/>
        <w:color w:val="A0A0A0"/>
        <w:sz w:val="18"/>
        <w:szCs w:val="18"/>
      </w:rPr>
      <w:t xml:space="preserve">   |   Companion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4A4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3ad2b616ad74442c56e9deee22fc1e564c3f24.png"/><Relationship Id="rId10" Type="http://schemas.openxmlformats.org/officeDocument/2006/relationships/image" Target="media/9dc3a4f69caaeeb12c66ce185248e7d0956c199b.png"/><Relationship Id="rId11" Type="http://schemas.openxmlformats.org/officeDocument/2006/relationships/image" Target="media/61c9de07f5a55420a54b000b6c928ae686ac22e0.png"/><Relationship Id="rId12" Type="http://schemas.openxmlformats.org/officeDocument/2006/relationships/image" Target="media/548c1194e12721210404656dddff4f13f85b56b2.png"/><Relationship Id="rId13" Type="http://schemas.openxmlformats.org/officeDocument/2006/relationships/image" Target="media/bd5a00787c9af21ca13c6948e846e28499b45ad9.png"/><Relationship Id="rId14" Type="http://schemas.openxmlformats.org/officeDocument/2006/relationships/image" Target="media/6cbacb1754563800ed57189b65de0140cecc8f7a.png"/><Relationship Id="rId15" Type="http://schemas.openxmlformats.org/officeDocument/2006/relationships/image" Target="media/49f10c19d6edc8a3a2ef61dbbfb99704b8f206c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Last-Mile Logistics — Notebook Walkthrough</dc:title>
  <dc:creator>Logistics Strategy &amp; Analysis</dc:creator>
  <cp:lastModifiedBy>Un-named</cp:lastModifiedBy>
  <cp:revision>1</cp:revision>
  <dcterms:created xsi:type="dcterms:W3CDTF">2026-05-03T12:09:00.343Z</dcterms:created>
  <dcterms:modified xsi:type="dcterms:W3CDTF">2026-05-03T12:09:00.343Z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