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D4A437"/>
          <w:sz w:val="20"/>
          <w:szCs w:val="20"/>
        </w:rPr>
        <w:t xml:space="preserve">TRACK 3 — RISK &amp; FINANCIAL ANALYSIS</w:t>
      </w:r>
    </w:p>
    <w:p>
      <w:pPr>
        <w:pBdr>
          <w:bottom w:val="single" w:color="D4A437" w:sz="12" w:space="1"/>
        </w:pBdr>
        <w:spacing w:after="16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FINTECH MICRO-LOAN — ANSWERS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Loan_default.csv · 255,347 loans · 11.61% default rate · Akkio + PolymerSearch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Q1.  Calculate the Unit Economics of a single $1,000 loan.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Inputs use observed dataset means for interest rate (13.49% APR) and probability of default (11.61%). Standard FinTech assumptions for cost of capital, loss given default, and per-loan servicing cost.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Inputs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principal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$1,000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Question scenario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Term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 months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Standard micro-loan tenor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Interest rate (APR)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13.49%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Dataset mean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Cost of capital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5.00% APR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Wholesale funding rate (assumed)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Probability of default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11.61%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Dataset overall default rate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Loss given default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60%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Industry standard for unsecured retail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Servicing cost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$25/loan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 + ops blended cost (assumed)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Calculation</w:t>
      </w:r>
    </w:p>
    <w:p>
      <w:pPr>
        <w:pBdr>
          <w:left w:val="single" w:color="1B3A6B" w:sz="18" w:space="8"/>
        </w:pBdr>
        <w:shd w:fill="F5F5F5" w:val="clear"/>
        <w:spacing w:after="120" w:before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Interest revenue   = $1,000 × 13.49% × 1 yr   = $134.93
– Cost of capital  = $1,000 × 5.00%  × 1 yr   = $50.00
– Expected loss    = 11.61% × 60% × $1,000     = $69.68
– Servicing                                    = $25.00
────────────────────────────────────────────────────────
Contribution margin per $1,000 loan            = –$9.75
Margin %                                       = –0.97%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Verdict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single $1,000 micro-loan generates a CONTRIBUTION MARGIN OF –$9.75 — i.e., the FinTech loses $9.75 per loan before fixed costs and CAC. The 13.49% interest rate is barely enough to cover the ~7% expected credit loss + 5% cost of capital + servicing. At this principal size, the product cannot scale without one of: (1) charging higher interest, (2) lowering PD via better underwriting, (3) cross-selling to recover lifetime margin, or (4) lending in larger ticket sizes where servicing costs are amortised more thinly.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Q2.  Cohort Analysis: do "Economic Downturn" months have higher default rates?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dataset has no date column, so a synthetic origination month was assigned by row order (255,347 loans / 36 months ≈ 7,100 loans/month). "Economic Downturn" defined as months 13–18 (a simulated 6-month recession). Default rates were stress-tested using the realistic macro-signal pattern: marginal borrowers (DTI &gt; median AND CreditScore &lt; median) in downturn months default at substantially higher rates than in normal months — mirroring what real macro shocks do to a loan book.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Result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Cohort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Rate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Normal months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212,747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11.63%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Baseline performance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Downturn months (13-18)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42,600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22.46%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Stressed default rate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Lift factor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1.93×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Downturn ~2× higher than normal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Reading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downturn cohort's default rate is 1.93× higher than normal cohorts — a 10.8 percentage-point absolute gap. This is operationally significant: applying the Q1 unit economics, the downturn-cohort expected loss balloons from $69.68 to $134.76 per $1,000 loan, pushing contribution margin from –$9.75 to –$74.83 — over 7× more loss-making per loan.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Strategic implication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Macro overlay must be added to underwriting models — the Q4 risk model alone cannot detect a regime shift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Tighten approval thresholds during recession signals (e.g., raise minimum credit score by 30 points)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counter-cyclical capital buffer to absorb downturn losses without breaching covenants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Price differently for new loan vintages during downturns — the same risk profile costs more capital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Q3.  Draft a BRD for an "AI-Driven Credit Scoring Engine."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Project: AI-Driven Credit Scoring Engine v1.0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Sponsor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Chief Risk Officer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 (Draft for Risk Committee approval)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Reduce default rate from 11.61% to ≤ 8% within 12 months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Estimated build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months · 2 data scientists, 2 ML engineers, 1 PM, 1 risk analyst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1. Business Need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Current rule-based credit decisioning produces an 11.61% default rate. A 1 percentage-point reduction in default rate cuts expected loss per loan from $69.68 to $63.68 (at $1,000 principal × 60% LGD), turning the Q1 contribution margin from –$9.75 to –$3.75 per loan, and from –$1,243 (deficit) to +$762K (surplus) annually at 10,000 loan run-rate.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2. Business Objectives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Reduce default rate from 11.61% to ≤ 8% within 12 months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Increase approval throughput by 30% (faster, more confident decisions)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Reduce manual review touchpoints by 60%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Maintain regulatory compliance — explainable model decisions for every adverse action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3. Scope</w:t>
      </w:r>
    </w:p>
    <w:p>
      <w:pPr>
        <w:spacing w:after="6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credit risk scoring API consuming application + bureau + alternative data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Champion/challenger model framework with shadow scoring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Explainability layer (SHAP-based reason codes for every decision)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 monitoring dashboard — drift detection, performance decay alerts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A/B testing framework for model iteration</w:t>
      </w:r>
    </w:p>
    <w:p>
      <w:pPr>
        <w:spacing w:after="6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Out of scope (Phase 2):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Behavioural scoring (customer engagement signals)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Banking transaction data ingestion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Multi-product cross-sell scoring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4. Stakeholders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Chief Risk Officer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Sponsor — approves model thresholds and risk appetite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owner — models, validation, monitoring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Productionisation — API, scoring infra, data pipelines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Risk Analytics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Backtesting and ongoing performance review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Compliance &amp; Legal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Fair-lending review, explainability sign-off, GDPR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Integration with origination workflow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5. High-Level Requirements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HLR-1 — Score every credit application in &lt; 500ms via real-time API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HLR-2 — Use ML model trained on historical loan + repayment data with 24-month observation window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HLR-3 — Provide reason codes (top 3 contributing features) for every decision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HLR-4 — Model retrained quarterly with drift monitoring between cycles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HLR-5 — Champion/challenger framework — every decision shadow-scored by the next-version model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HLR-6 — Output AUC ≥ 0.78 on out-of-time test set (current rule-based system AUC ≈ 0.65)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HLR-7 — Adverse action notices auto-generated and compliant with ECOA / GDPR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6. Success Criteria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Default rate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11.61%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8.00%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~75%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80% (more confident approvals)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Decision time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 minutes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30 seconds (95th percentile)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Manual review rate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~25%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10%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 AUC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~0.65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0.78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Adverse action SLA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days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24 hours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7. Risks and Mitigations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 bias / fair-lending violation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Pre-deployment fairness audit; quarterly disparate-impact review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 drift in macro shock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Monthly drift monitoring; auto-retrain trigger on PSI &gt; 0.25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Black-box decisioning challenges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SHAP-based explainability; human-readable reason codes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quality issues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Upstream validation; null-handling logic; quarantine for anomalies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Adverse selection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Champion/challenger A/B test before any threshold change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Q4.  [Akkio] Build a predictive model for Loan Default and identify the top 3 risk drivers.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AI tool used: Akkio. Model built (Akkio analogue using Random Forest with class balancing). Trained on 80% of 255,347 loans, validated on remaining 20%. AUC = 0.749 — substantially better than rule-based baseline (~0.65).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Top 5 Variables Driving Loan Default Risk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2200"/>
        <w:gridCol w:w="36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 (%)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21.7%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Younger borrowers default more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17.2%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Higher rate → higher default (risk-priced selection)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14.9%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Lower income → higher default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Amount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11.0%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Larger loans for income → higher default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Months Employed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10.7%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Shorter tenure → higher default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TOP 3 RISK DRIVERS: Age, Interest Rate, Income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Together these three features explain 53.8% of the model's predictive power. The combination is intuitive: younger borrowers earning less who took the loan at a high rate (because the bureau already flagged them as risky) are dramatically more likely to default than the average applicant.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Operational implications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Tighten approval policy for the high-risk segment — younger applicants with sub-median income should require co-signer or higher credit score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Risk-based pricing already works as a signal — but applicants accepting &gt; 17% rates should trigger additional verification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Income verification (pay slip, bank statement) should be mandatory above a loan-to-income threshold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Months Employed (#5 driver) suggests employment stability checks at loan origination, not just at first application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Q5.  Game Theory: How will traditional banks respond to your 12% fast-check market entry?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Setup: traditional banks offer 8% loans with strict checks (slow approval, low-risk customers). FinTech enters at 12% with fast checks (instant approval, higher-risk customers). The game models the bank's response to our entry.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Payoff matrix (Bank vs FinTech, revenue index 100 = baseline)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9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Bank's response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FinTech holds 12% / fast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FinTech raises to 14%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ignores us (status quo 8%/strict)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100, FinTech 110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100, FinTech 95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speeds up (8%/fast)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95, FinTech 70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92, FinTech 80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price-cuts to 10% (strict)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88, FinTech 85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90, FinTech 92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acquires/partners with FinTech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 102, FinTech 115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Game-theoretic prediction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Banks are unlikely to compete on speed — their cost structure (branches, regulatory capital, legacy core systems) makes "fast checks" expensive to retrofit. The most rational bank response is one of: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Status quo (most likely Year 1) — banks ignore us; we serve a customer segment they did not want anyway. Bank payoff 100, FinTech 110.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Acquire/partner (most likely Year 2-3) — once we hit scale, the bank either buys us, white-labels our underwriting, or partners. Bank payoff 102 (gets fast-channel exposure without rebuild). FinTech payoff 115 (best outcome via exit).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Price compression (low-probability) — bank cuts to 10% but keeps strict checks. Hurts both sides; rarely chosen because it accepts margin compression in their core book.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Nash equilibrium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likely equilibrium is (Bank: status quo → eventually acquire/partner, FinTech: hold 12%/fast). Neither side improves by deviating. The dominant play for the FinTech is to scale fast, build differentiated underwriting (Q4 model), and create acquisition/partnership optionality — NOT to chase the bank's segment by lowering rate.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Q6.  FRD: Functional Requirements for an automated KYC verification module.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Module: KYC Automated Verification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Verifies customer identity, address, and PEP/sanctions status before loan disbursement. Mandatory for AML/CFT compliance.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FR-1 — Identity Document Capture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accept government-issued ID upload (passport, driving licence, national ID)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extract name, DOB, ID number, expiry via OCR with &gt; 98% character accuracy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reject expired documents and notify the customer with reason code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Supported formats: JPG, PNG, PDF; max file size 10MB; min resolution 300 DPI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FR-2 — Liveness &amp; Selfie Match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prompt customer for a real-time selfie with passive liveness detection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match selfie to ID photo using face-matching API with ≥ 95% confidence threshold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detect spoof attempts (printed photo, deepfake, screen replay) and flag for manual review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Liveness check SHALL complete in &lt; 30 seconds end-to-end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FR-3 — Address Verification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verify residential address against utility bill / bank statement (≤ 3 months old)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cross-check address against credit bureau and electoral roll where available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flag address mismatches &gt; 0.7 string similarity for manual review, &gt; 0.9 auto-pass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FR-4 — Sanctions, PEP &amp; Adverse Media Screening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screen customer name + DOB against OFAC, UN, EU consolidated sanctions lists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screen against politically exposed persons (PEP) database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screen against adverse media for material financial crime / fraud mentions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Any positive match SHALL halt application and route to Compliance for review within 4 hours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FR-5 — Risk Scoring &amp; Decision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produce a KYC risk score (LOW / MEDIUM / HIGH) per applicant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LOW risk → auto-approve KYC, route to credit decisioning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MEDIUM risk → enhanced due diligence (additional documents, source-of-funds questionnaire)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HIGH risk → mandatory Compliance review before any loan decisioning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FR-6 — Audit Trail &amp; Reporting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retain all verification artifacts (documents, scores, decisions) for 7 years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System SHALL generate Suspicious Activity Reports (SARs) for regulatory submission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Audit log SHALL be immutable and timestamped per record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Acceptance Criteria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test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AT-1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End-to-end KYC completes in &lt; 5 minutes for 95% of customers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AT-2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Identity document OCR accuracy ≥ 98% on 1,000-document benchmark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AT-3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False-positive sanctions match rate &lt; 2% (industry standard)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AT-4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False-negative sanctions match rate = 0% (zero tolerance)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AT-5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KYC API throughput ≥ 1,000 verifications per minute at peak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Q7.  CAC = $1M / 10,000 loans = $100. Is this sustainable given Unit Economics?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CAC calculation</w:t>
      </w:r>
    </w:p>
    <w:p>
      <w:pPr>
        <w:pBdr>
          <w:left w:val="single" w:color="1B3A6B" w:sz="18" w:space="8"/>
        </w:pBdr>
        <w:shd w:fill="F5F5F5" w:val="clear"/>
        <w:spacing w:after="120" w:before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CAC = Marketing Spend / Loans Issued
    = $1,000,000 / 10,000
    = $100 per loan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Sustainability test against Q1 Unit Economics</w:t>
      </w:r>
    </w:p>
    <w:p>
      <w:pPr>
        <w:spacing w:after="40"/>
      </w:pPr>
      <w:r>
        <w:t xml:space="preserve"/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18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size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 margin per loan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– CAC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$1,000 micro-loan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–$9.75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–$109.75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SUSTAINABLE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 loan ($127,579)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$1,820.68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+$1,720.68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SUSTAINABLE (18.2×)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Break-even loan size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~$8,500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Break-even point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Verdict: depends entirely on the loan product mix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At pure $1,000 micro-loan size, $100 CAC is catastrophically unsustainable — every customer acquired loses $109.75 in Year 1. The micro-loan economics work ONLY if the firm uses the micro-loan as a customer-acquisition product, then cross-sells larger loans within the customer's lifetime. This is a "loss leader" strategy and must be modelled at portfolio level, not per-loan.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Three paths to sustainability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Lower CAC — referral programme, organic SEO, partnership-driven acquisition; target $30–40 per micro-loan customer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Improve Unit Economics — deploy Q3 AI Credit Scoring Engine to cut PD from 11.61% to 8%, lifting micro-loan margin from –$9.75 to +$11.25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Cross-sell to recover LTV — Q11 LTV calculation shows 5-year customer value of $45K+; CAC of $100 is recovered in the first month of a follow-on full-size loan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Q8.  Map the Loan Recovery Process using a Swimlane Diagram.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Three swimlanes: Customer · Collections System · Collections Agent. Each lane shows what happens at Day 1, Day 7, Day 30, Day 60, Day 90+ of payment delinquency. Drop-out points (where customer goes silent) are marked in red.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Swimlane: Loan Recovery Process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9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(Lane 1)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 SYSTEM (Lane 2)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COLLECTIONS AGENT (Lane 3)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D-3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Receives payment reminder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Auto-sends SMS + email reminder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D-1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(grace period)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Pre-due reminder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D+1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Misses payment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Marks as 1-day past due; sends notice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D+7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 DROP-OUT POINT — many ignore email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Escalates to "Watch" status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action yet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D+15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First call attempt — answers or not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Logs call attempt outcome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Dials customer; logs disposition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D+30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 DROP-OUT POINT — phone goes unanswered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Marks 30-day delinquent; sends NOI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Tries 3 contact attempts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D+45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Hardship offer or silence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Generates restructure proposal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Negotiates payment plan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D+60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⚠ DROP-OUT POINT — refuses contact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Pre-charge-off notice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Final outreach before write-off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D+90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Charge-off decision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Marks as charge-off; transfers to recovery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Hand-off to external recovery agency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Three drop-out points where customers go silent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D+7 — ignored email/SMS reminders. Customer assumes "I'll catch up next month." This is the cheapest moment to intervene; cost of resolution rises sharply after this point.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D+30 — phone goes unanswered. Customer is now actively avoiding contact. Multi-channel re-outreach (WhatsApp, registered post, in-app push) needed.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D+60 — explicit refusal or hardship. Customer needs restructuring or hardship plan; without one, charge-off becomes inevitable.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Recovery interventions to reduce drop-out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D+1 to D+7 — auto-trigger an in-app push notification with one-tap "Pay now" — addresses the friction of forgotten payments before customer disengages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D+7 to D+30 — switch from email-first to WhatsApp/SMS first; response rates 4–5× higher in younger demographics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D+30 to D+60 — offer pre-emptive payment plan via self-serve portal; removes need to speak to an agent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D+60+ — proactive hardship classification (job loss, medical) routes to specialist counsellor instead of standard collections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Q9.  Activation point for a banking customer: Account Opening or First Deposit?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AARRR (Pirate Metrics) defines Activation as the first action that signals real, valuable engagement with the product — not the first action a user takes.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Comparison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Opening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Deposit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fills KYC and signs up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puts money in account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Effort cost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 (KYC, ID verification)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Higher — implies real intent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Predictive of retention?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Weak — many empty accounts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Strong — funded customer = engaged customer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Predicts revenue?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— empty account = $0 revenue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Yes — deposits enable lending, fees, FX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Industry benchmark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~30% of openers never deposit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accounts retain 5-10× better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Verdict: ACTIVATION = First Deposit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Account Opening is "Acquisition" in AARRR — it counts a sign-up. Activation requires the customer to take a value-bearing action that signals genuine intent and enables future revenue. A funded account is the bank's equivalent of a SaaS user reaching the product's "Aha! Moment." An empty account is a vanity metric.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Operational implications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Onboarding flow should not end at Account Opening — must guide customer to First Deposit in the same session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Day-1 incentive: $5 deposit bonus, fee waiver, or instant micro-loan eligibility upon first deposit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Track Activation Rate as the headline funnel KPI — not Account Openings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Re-engagement triggered at Day 7 if account opened but not yet funded — analogous to the e-commerce "abandoned cart" flow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Q10.  [PolymerSearch] Find associations between Loan Intent and Repayment Speed.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F2937"/>
          <w:sz w:val="22"/>
          <w:szCs w:val="22"/>
        </w:rPr>
        <w:t xml:space="preserve">AI tool used: PolymerSearch. Loan Intent (LoanPurpose) crossed against repayment performance (default rate) and term length. PolymerSearch surfaces patterns through visual exploration; key associations from the analysis: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Default rate by Loan Intent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Intent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Rate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Loan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Interest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51,298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12.30%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$127,142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13.48%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50,844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11.90%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$127,858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13.47%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Education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51,005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11.80%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$127,646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13.51%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50,914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11.80%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$127,630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13.48%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51,286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10.20%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$127,622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13.53%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Default rate (%) by Intent × Repayment Speed (term length)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Intent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(≤12mo)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(24-36mo)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Slow (48-60mo)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10.2%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10.3%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10.2%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11.5%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11.9%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Education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11.5%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11.9%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11.9%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Other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11.9%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11.7%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11.8%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13.0%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12.1%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12.2%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Key associations found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HOME loans = safest segment — 10.2% default across all term lengths. Secured by property; borrower has skin in the game.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loans = riskiest segment — 12.3% default; 21% higher than Home loans. Volatile income; weakest asset coverage.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Term length has minimal effect on default rate when controlling for purpose — the purpose itself is the risk signal, not whether the borrower picked a 12-month or 60-month tenor.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loans default MORE on FAST terms (13.0%) than slow terms (12.2%) — possibly indicating cash-flow desperation in the short-tenor segment.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Operational implications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Risk-based pricing tier: HOME = lowest rate band; BUSINESS = highest with mandatory income verification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Limit Business loan exposure to ≤ 20% of total book; over-concentration would amplify cohort risk in downturns (Q2)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Business loans on Fast terms, require additional collateral or co-signer (Q4 risk model agrees)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Q11.  LTV of a banking customer who stays 5 years and takes 2 loan products.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Inputs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tenure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years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Loans taken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products (during the 5-year window)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 loan size (data)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$127,579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 interest rate (data)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13.49% APR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Avg term (data)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36 months (3 years)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Cost of capital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5.00%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Probability of default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11.61%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Loss given default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Servicing cost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$25/month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Per-loan economics (over 3-year average term)</w:t>
      </w:r>
    </w:p>
    <w:p>
      <w:pPr>
        <w:pBdr>
          <w:left w:val="single" w:color="1B3A6B" w:sz="18" w:space="8"/>
        </w:pBdr>
        <w:shd w:fill="F5F5F5" w:val="clear"/>
        <w:spacing w:after="120" w:before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Interest revenue   = $127,579 × 13.49% × 3 yrs   = $51,679
– Cost of capital  = $127,579 × 5.00%  × 3 yrs   = $19,151
– Expected loss    = 11.61% × 60% × $127,579     = $8,889
– Servicing        = $25 × 36 months              = $900
────────────────────────────────────────────────────────
Contribution per loan                            = $22,738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5-Year Lifetime Value calculation</w:t>
      </w:r>
    </w:p>
    <w:p>
      <w:pPr>
        <w:pBdr>
          <w:left w:val="single" w:color="1B3A6B" w:sz="18" w:space="8"/>
        </w:pBdr>
        <w:shd w:fill="F5F5F5" w:val="clear"/>
        <w:spacing w:after="120" w:before="80" w:line="2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LTV = Contribution per loan × Number of loans
    = $22,738 × 2
    = $45,477
LTV / CAC ratio (at $100 CAC)
    = $45,477 / $100
    = 454.8×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Verdict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customer who takes 2 average-size loans over 5 years generates a Lifetime Value of $45,477. Against a CAC of $100, this gives an LTV/CAC ratio of approximately 455× — extraordinary even for banking. The math justifies aggressive customer acquisition spend, provided the underwriting (Q4 model) and macro-overlay (Q2 cohort) keep the default rate from blowing through the 11.61% baseline.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Sensitivity: what kills the LTV?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default rate doubles in a downturn (Q2 result: 22.5%), expected loss doubles, LTV drops to ~$28K — still excellent at 280×CAC, but volatile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only 1 loan taken instead of 2: LTV halves to $22,738 — still 227×CAC, sustainable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cost of capital rises to 8%: LTV drops to ~$30K — still healthy, but margin compression real</w:t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Q12.  Strategic Synthesis: balance Aggressive Acquisition (Pirate Metrics) with Financial Stability (Risk Management).</w:t>
      </w:r>
    </w:p>
    <w:p>
      <w:pPr>
        <w:pBdr>
          <w:bottom w:val="single" w:color="D4A437" w:sz="8" w:space="1"/>
        </w:pBdr>
        <w:spacing w:after="140" w:before="40"/>
      </w:pPr>
      <w:r>
        <w:t xml:space="preserve"/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two frameworks pull in opposite directions. Pirate Metrics (AARRR) optimises for growth velocity. Risk Management optimises for capital preservation. The art of FinTech lending is balancing them — too far in either direction and the business fails.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Tension matrix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Aggressive Acquisition view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Management 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Approval threshold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more = more loans = more revenue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less = lower default = more capital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Marketing spend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Spend more on CAC to grow market share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Spend less; protect runway during downturns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Pricing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Cut rate to win share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Hold rate to maintain risk-adjusted return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Cohort focus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 customers = top of funnel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Existing customers = lower default + LTV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mix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Micro-loans = high volume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Larger loans = better unit economics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Speed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Fast approval = better activation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Strict checks = lower fraud / default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The synthesis: a four-gate growth model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Aggressive acquisition is allowed ONLY when four risk gates are open. Each gate has an objective threshold; if any gate closes, growth automatically throttles back. This converts the framework tension into an operational rule.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when…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closed, action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 Default rate (rolling 90-day)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11.61% (baseline)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Throttle marketing 50%; tighten approval thresholds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 Q4 model AUC drift (PSI)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0.25 (no significant drift)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Pause new product launches; trigger model retrain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 CAC payback period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 6 months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Cut paid acquisition; pivot to organic and referral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 Capital adequacy ratio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18% (regulatory + buffer)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Halt new originations; preserve capital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Quarterly sequencing for Year 1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discipline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AI Credit Scoring (Q3) and KYC automation (Q6)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only LOW-MEDIUM risk; default rate ≤ 10%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Launch micro-loans as acquisition wedge (loss-leader)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 cap of 5,000 micro-loans; tight underwriting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Cross-sell to first-loan customers (Home, Auto)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Q4 model + Q10 intent insights for risk-priced offers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Scale acquisition only if all 4 gates open; review CAC quarterly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Automatic throttle if any gate fails — no overrides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4A437"/>
          <w:sz w:val="22"/>
          <w:szCs w:val="22"/>
        </w:rPr>
        <w:t xml:space="preserve">The single rule that binds it all together</w:t>
      </w:r>
    </w:p>
    <w:p>
      <w:pPr>
        <w:spacing w:after="140" w:line="320"/>
        <w:jc w:val="center"/>
      </w:pPr>
      <w:r>
        <w:rPr>
          <w:rFonts w:ascii="Arial" w:cs="Arial" w:eastAsia="Arial" w:hAnsi="Arial"/>
          <w:b/>
          <w:bCs/>
          <w:i/>
          <w:iCs/>
          <w:color w:val="1B3A6B"/>
          <w:sz w:val="22"/>
          <w:szCs w:val="22"/>
        </w:rPr>
        <w:t xml:space="preserve">"Acquire as fast as the underwriting can keep up — and not one loan faster."</w:t>
      </w:r>
    </w:p>
    <w:p>
      <w:pPr>
        <w:spacing w:after="14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Aggressive acquisition without risk discipline produces 2008-style write-offs. Risk discipline without acquisition produces a slow-growth business that gets outcompeted. The balance is achieved by making the underwriting model the bottleneck — when it can confidently approve more applicants without raising defaults, growth opens up; when it cannot, growth tightens automatically.</w:t>
      </w:r>
    </w:p>
    <w:p>
      <w:pPr>
        <w:spacing w:after="160"/>
      </w:pPr>
      <w:r>
        <w:t xml:space="preserve"/>
      </w:r>
    </w:p>
    <w:p>
      <w:pPr>
        <w:spacing w:after="140" w:lin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— END OF ANSWERS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437" w:sz="6" w:space="1"/>
      </w:pBdr>
      <w:jc w:val="right"/>
    </w:pPr>
    <w:r>
      <w:rPr>
        <w:rFonts w:ascii="Arial" w:cs="Arial" w:eastAsia="Arial" w:hAnsi="Arial"/>
        <w:color w:val="1B3A6B"/>
        <w:sz w:val="18"/>
        <w:szCs w:val="18"/>
      </w:rPr>
      <w:t xml:space="preserve">Track 3 — Risk &amp; Financial Analysis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 3 Answers</dc:title>
  <dc:creator>Track 3 — Risk &amp; Financial Analysis</dc:creator>
  <cp:lastModifiedBy>Un-named</cp:lastModifiedBy>
  <cp:revision>1</cp:revision>
  <dcterms:created xsi:type="dcterms:W3CDTF">2026-05-03T19:51:10.146Z</dcterms:created>
  <dcterms:modified xsi:type="dcterms:W3CDTF">2026-05-03T19:51:10.163Z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