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STRATEGIC GROWTH REPORT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265A"/>
          <w:sz w:val="60"/>
          <w:szCs w:val="60"/>
        </w:rPr>
        <w:t xml:space="preserve">Microsoft Corporation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64748B"/>
          <w:sz w:val="26"/>
          <w:szCs w:val="26"/>
        </w:rPr>
        <w:t xml:space="preserve">ARIMA-Based Financial Forecast &amp; Growth Analysis  |  2024–2026</w:t>
      </w:r>
    </w:p>
    <w:p>
      <w:pPr>
        <w:pBdr>
          <w:bottom w:val="single" w:color="00A4EF" w:sz="5" w:space="1"/>
        </w:pBdr>
        <w:spacing w:after="80" w:before="80"/>
      </w:pPr>
    </w:p>
    <w:p>
      <w:pPr>
        <w:spacing w:after="60"/>
      </w:pP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0"/>
                <w:szCs w:val="20"/>
              </w:rPr>
              <w:t xml:space="preserve">Strategic Growth Report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Company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0"/>
                <w:szCs w:val="20"/>
              </w:rPr>
              <w:t xml:space="preserve">Microsoft Corporation (NASDAQ: MSFT)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Forecast Period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0"/>
                <w:szCs w:val="20"/>
              </w:rPr>
              <w:t xml:space="preserve">2024 — 2026 (3-Year Horizon)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0"/>
                <w:szCs w:val="20"/>
              </w:rPr>
              <w:t xml:space="preserve">ARIMA Time-Series Forecasting (2009-2023 base)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Earnings Quality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0"/>
                <w:szCs w:val="20"/>
              </w:rPr>
              <w:t xml:space="preserve">Verified — Pearson r(CFO, NI) = 0.9666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0"/>
                <w:szCs w:val="20"/>
              </w:rPr>
              <w:t xml:space="preserve">Financial Strategy Team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0"/>
                <w:szCs w:val="20"/>
              </w:rPr>
              <w:t xml:space="preserve">For Internal Distribution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Confidential  |  Internal Use Only  |  Financial Strategy Team</w:t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0E265A"/>
          <w:sz w:val="38"/>
          <w:szCs w:val="38"/>
        </w:rPr>
        <w:t xml:space="preserve">1. Executive Summary</w:t>
      </w:r>
    </w:p>
    <w:p>
      <w:pPr>
        <w:pBdr>
          <w:bottom w:val="single" w:color="00A4EF" w:sz="5" w:space="1"/>
        </w:pBdr>
        <w:spacing w:after="80" w:before="8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This Strategic Growth Report presents a comprehensive three-year financial outlook for Microsoft Corporation (NASDAQ: MSFT) for the period 2024–2026, derived from ARIMA time-series modelling of 15 years of audited financial data (fiscal years 2009–2023). The analysis covers five core financial metrics: Revenue, Net Income, Cash Flow from Operating Activities (CFO), EBITDA, and Gross Profit.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065F46" w:sz="8"/>
              <w:left w:val="single" w:color="065F46" w:sz="20"/>
              <w:bottom w:val="single" w:color="065F46" w:sz="8"/>
              <w:right w:val="none" w:color="FFFFFF" w:sz="0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KEY</w:t>
            </w:r>
          </w:p>
        </w:tc>
        <w:tc>
          <w:tcPr>
            <w:tcW w:type="dxa" w:w="9000"/>
            <w:tcBorders>
              <w:top w:val="single" w:color="065F46" w:sz="8"/>
              <w:left w:val="none" w:color="FFFFFF" w:sz="0"/>
              <w:bottom w:val="single" w:color="065F46" w:sz="8"/>
              <w:right w:val="single" w:color="065F46" w:sz="8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1"/>
                <w:szCs w:val="21"/>
              </w:rPr>
              <w:t xml:space="preserve">Earnings Quality Pre-Check: Before committing to any forecast, ThoughtSpot confirmed Pearson r(CFO, NI) = 0.9666 (p &lt; 0.0001) — exceptional earnings quality. Microsoft's profits are cash-backed, not accrual-driven. ARIMA forecasts built on these fundamentals carry high confidence.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Key findings from the ARIMA forecast: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Revenue is projected to reach $247.4B by 2026, implying a 3-year CAGR of approximately 5.3% from the 2023 base of $211.9B.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Net Income is forecast to grow to $84.8B by 2026, building on the elevated profitability established in the Azure/Cloud transition era (2019–2023).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Operating Cash Flow is expected to cross $101.6B by 2026, sustaining the company's best-in-class CFO margin of approximately 40%.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EBITDA is on track to reach $118.1B by 2026, reflecting continued operating leverage as cloud gross margins compound.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Gross Profit is projected at $172.5B by 2026 — an $11B step-up per year reflecting mix-shift toward higher-margin software and cloud revenue.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Historical CAGR benchmarks (2009–2023): Revenue +9.6% | Net Income +12.1% | CFO +11.5% | EBITDA +11.3%. Forecast growth rates are intentionally conservative (5–8%) as they reflect maturing scale from a much larger base.</w:t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0E265A"/>
          <w:sz w:val="38"/>
          <w:szCs w:val="38"/>
        </w:rPr>
        <w:t xml:space="preserve">2. Earnings Quality Validation</w:t>
      </w:r>
    </w:p>
    <w:p>
      <w:pPr>
        <w:pBdr>
          <w:bottom w:val="single" w:color="00A4EF" w:sz="5" w:space="1"/>
        </w:pBdr>
        <w:spacing w:after="80" w:before="8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Before presenting forward-looking forecasts, this report validates the integrity of Microsoft's historical earnings using two standard financial forensics metrics. Forecasts built on high-quality earnings are substantially more reliable than those built on accrual-heavy income streams.</w:t>
      </w:r>
    </w:p>
    <w:p>
      <w:pPr>
        <w:spacing w:after="60"/>
      </w:pPr>
    </w:p>
    <w:p>
      <w:pPr>
        <w:pStyle w:val="Heading2"/>
        <w:pBdr>
          <w:bottom w:val="single" w:color="E2E8F0" w:sz="4" w:space="1"/>
        </w:pBdr>
        <w:spacing w:after="110" w:before="300"/>
      </w:pPr>
      <w:r>
        <w:rPr>
          <w:rFonts w:ascii="Calibri" w:cs="Calibri" w:eastAsia="Calibri" w:hAnsi="Calibri"/>
          <w:b/>
          <w:bCs/>
          <w:color w:val="00A4EF"/>
          <w:sz w:val="28"/>
          <w:szCs w:val="28"/>
        </w:rPr>
        <w:t xml:space="preserve">2.1 Pearson Correlation: CFO vs Net Income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A high Pearson correlation between Cash Flow from Operations and Net Income confirms that reported profits are supported by real cash generation — the most fundamental test of earnings quality.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80"/>
        <w:gridCol w:w="2080"/>
      </w:tblGrid>
      <w:tr>
        <w:tc>
          <w:tcPr>
            <w:tcW w:type="dxa" w:w="26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8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208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Pearson r (CFO vs NI)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0.9666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&gt; 0.85 = High Quality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PASS — Exceptional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Spearman r (rank)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0.7679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&gt; 0.70 = Reliable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p-value (Pearson)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&lt; 0.0001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&lt; 0.05 = Significant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PASS — 99.99% CI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Avg CFO / NI Ratio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1.537x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&gt; 1.0 = Healthy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PASS — 15/15 years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E2E8F0" w:sz="4" w:space="1"/>
        </w:pBdr>
        <w:spacing w:after="110" w:before="300"/>
      </w:pPr>
      <w:r>
        <w:rPr>
          <w:rFonts w:ascii="Calibri" w:cs="Calibri" w:eastAsia="Calibri" w:hAnsi="Calibri"/>
          <w:b/>
          <w:bCs/>
          <w:color w:val="00A4EF"/>
          <w:sz w:val="28"/>
          <w:szCs w:val="28"/>
        </w:rPr>
        <w:t xml:space="preserve">2.2 Sloan Accrual Ratio Analysis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The Sloan Accrual Ratio measures the proportion of earnings attributable to non-cash accounting accruals vs. actual cash generation. A persistently negative ratio is a powerful indicator of earnings integrity.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0F766E" w:sz="8"/>
              <w:left w:val="single" w:color="0F766E" w:sz="20"/>
              <w:bottom w:val="single" w:color="0F766E" w:sz="8"/>
              <w:right w:val="none" w:color="FFFFFF" w:sz="0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FINDING</w:t>
            </w:r>
          </w:p>
        </w:tc>
        <w:tc>
          <w:tcPr>
            <w:tcW w:type="dxa" w:w="9000"/>
            <w:tcBorders>
              <w:top w:val="single" w:color="0F766E" w:sz="8"/>
              <w:left w:val="none" w:color="FFFFFF" w:sz="0"/>
              <w:bottom w:val="single" w:color="0F766E" w:sz="8"/>
              <w:right w:val="single" w:color="0F766E" w:sz="8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1"/>
                <w:szCs w:val="21"/>
              </w:rPr>
              <w:t xml:space="preserve">Microsoft's average Sloan Accrual Ratio over 2009–2023 is -12.05%. This negative value means operating cash flow exceeds net income every year — the opposite of earnings manipulation. Years with ratios approaching 0% (e.g., 2011: -5.5%) warrant monitoring; years with large negative ratios (2018: -24.75%) reflect tax-law timing differences, not accrual inflation.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Notable Anomaly Years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2012 (CFO/NI 1.86x, Accrual -19.9%): Large non-cash write-down of aQuantive acquisition ($6.2B) depressed NI without reducing cash. CFO remained robust, confirming high quality.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2015 (CFO/NI 2.43x, Accrual -18.7%): Nokia write-down ($7.6B) similarly reduced book income while cash generation continued unaffected.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2018 (CFO/NI 2.65x, Accrual -24.75%): U.S. Tax Cuts and Jobs Act created large one-time tax charges, depressing NI. Underlying operating cash was strong at $43.9B.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64748B"/>
          <w:sz w:val="21"/>
          <w:szCs w:val="21"/>
        </w:rPr>
        <w:t xml:space="preserve">All three anomalies represent non-recurring accounting charges against otherwise strong cash performance — precisely the pattern that high-quality earnings analysis is designed to surface.</w:t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0E265A"/>
          <w:sz w:val="38"/>
          <w:szCs w:val="38"/>
        </w:rPr>
        <w:t xml:space="preserve">3. Historical Financial Performance  2009–2023</w:t>
      </w:r>
    </w:p>
    <w:p>
      <w:pPr>
        <w:pBdr>
          <w:bottom w:val="single" w:color="00A4EF" w:sz="5" w:space="1"/>
        </w:pBdr>
        <w:spacing w:after="80" w:before="8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The following table presents Microsoft's full 15-year audited financial history — the basis for the ARIMA model training dataset. All figures in USD millions.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00"/>
        <w:gridCol w:w="1220"/>
        <w:gridCol w:w="1460"/>
        <w:gridCol w:w="1220"/>
        <w:gridCol w:w="1220"/>
        <w:gridCol w:w="1220"/>
      </w:tblGrid>
      <w:tr>
        <w:tc>
          <w:tcPr>
            <w:tcW w:type="dxa" w:w="72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3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22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 Income</w:t>
            </w:r>
          </w:p>
        </w:tc>
        <w:tc>
          <w:tcPr>
            <w:tcW w:type="dxa" w:w="146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CFO</w:t>
            </w:r>
          </w:p>
        </w:tc>
        <w:tc>
          <w:tcPr>
            <w:tcW w:type="dxa" w:w="122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EBITDA</w:t>
            </w:r>
          </w:p>
        </w:tc>
        <w:tc>
          <w:tcPr>
            <w:tcW w:type="dxa" w:w="122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22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CFO/NI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2009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$58,437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$14,569</w:t>
            </w:r>
          </w:p>
        </w:tc>
        <w:tc>
          <w:tcPr>
            <w:tcW w:type="dxa" w:w="1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$19,037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$22,925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$46,282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1.31x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2010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$62,484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$18,760</w:t>
            </w:r>
          </w:p>
        </w:tc>
        <w:tc>
          <w:tcPr>
            <w:tcW w:type="dxa" w:w="1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$24,073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$26,771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$50,089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1.28x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2011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$69,943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$23,150</w:t>
            </w:r>
          </w:p>
        </w:tc>
        <w:tc>
          <w:tcPr>
            <w:tcW w:type="dxa" w:w="1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$26,994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$29,927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$54,366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1.17x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2012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$73,723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$16,978</w:t>
            </w:r>
          </w:p>
        </w:tc>
        <w:tc>
          <w:tcPr>
            <w:tcW w:type="dxa" w:w="1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$31,626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$30,923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$56,193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1.86x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2013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$77,849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$21,863</w:t>
            </w:r>
          </w:p>
        </w:tc>
        <w:tc>
          <w:tcPr>
            <w:tcW w:type="dxa" w:w="1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$28,833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$30,519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$57,464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1.32x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2014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$86,833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$22,074</w:t>
            </w:r>
          </w:p>
        </w:tc>
        <w:tc>
          <w:tcPr>
            <w:tcW w:type="dxa" w:w="1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$32,502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$32,971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$59,755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1.47x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2015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$93,580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$12,193</w:t>
            </w:r>
          </w:p>
        </w:tc>
        <w:tc>
          <w:tcPr>
            <w:tcW w:type="dxa" w:w="1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$29,668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$31,616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$60,542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2.43x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2016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$91,154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$20,539</w:t>
            </w:r>
          </w:p>
        </w:tc>
        <w:tc>
          <w:tcPr>
            <w:tcW w:type="dxa" w:w="1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$33,325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$33,330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$58,374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1.62x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2017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$96,571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$25,489</w:t>
            </w:r>
          </w:p>
        </w:tc>
        <w:tc>
          <w:tcPr>
            <w:tcW w:type="dxa" w:w="1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$39,507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$37,803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$62,310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1.55x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2018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$110,360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$16,571</w:t>
            </w:r>
          </w:p>
        </w:tc>
        <w:tc>
          <w:tcPr>
            <w:tcW w:type="dxa" w:w="1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$43,884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$45,319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$72,007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2.65x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2019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$125,843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$39,240</w:t>
            </w:r>
          </w:p>
        </w:tc>
        <w:tc>
          <w:tcPr>
            <w:tcW w:type="dxa" w:w="1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$52,185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$54,641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$82,933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1.33x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2020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$143,015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$44,281</w:t>
            </w:r>
          </w:p>
        </w:tc>
        <w:tc>
          <w:tcPr>
            <w:tcW w:type="dxa" w:w="1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$60,675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$65,755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$96,937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1.37x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2021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$168,088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$61,271</w:t>
            </w:r>
          </w:p>
        </w:tc>
        <w:tc>
          <w:tcPr>
            <w:tcW w:type="dxa" w:w="1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$76,740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$81,602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$115,856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1.25x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2022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$198,270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$72,738</w:t>
            </w:r>
          </w:p>
        </w:tc>
        <w:tc>
          <w:tcPr>
            <w:tcW w:type="dxa" w:w="1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$89,035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$97,843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$135,620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1.22x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2023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$211,915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$72,361</w:t>
            </w:r>
          </w:p>
        </w:tc>
        <w:tc>
          <w:tcPr>
            <w:tcW w:type="dxa" w:w="1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$87,582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$102,384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$146,052</w:t>
            </w:r>
          </w:p>
        </w:tc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1.21x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64748B"/>
          <w:sz w:val="19"/>
          <w:szCs w:val="19"/>
        </w:rPr>
        <w:t xml:space="preserve">Source: Audited financial statements. All figures in USD millions. CFO/NI ratio highlighted in amber for years where ratio exceeded 2.0 (non-recurring charge years) or approached 1.0.</w:t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0E265A"/>
          <w:sz w:val="38"/>
          <w:szCs w:val="38"/>
        </w:rPr>
        <w:t xml:space="preserve">4. ARIMA Forecast Methodology</w:t>
      </w:r>
    </w:p>
    <w:p>
      <w:pPr>
        <w:pBdr>
          <w:bottom w:val="single" w:color="00A4EF" w:sz="5" w:space="1"/>
        </w:pBdr>
        <w:spacing w:after="80" w:before="8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This report applies an AutoRegressive Integrated Moving Average (ARIMA) framework to project Microsoft's five core financial metrics over a three-year horizon (2024–2026). ARIMA models are the standard time-series forecasting approach for annual financial data given their ability to handle non-stationarity and autocorrelation in growth series.</w:t>
      </w:r>
    </w:p>
    <w:p>
      <w:pPr>
        <w:spacing w:after="60"/>
      </w:pPr>
    </w:p>
    <w:p>
      <w:pPr>
        <w:pStyle w:val="Heading2"/>
        <w:pBdr>
          <w:bottom w:val="single" w:color="E2E8F0" w:sz="4" w:space="1"/>
        </w:pBdr>
        <w:spacing w:after="110" w:before="300"/>
      </w:pPr>
      <w:r>
        <w:rPr>
          <w:rFonts w:ascii="Calibri" w:cs="Calibri" w:eastAsia="Calibri" w:hAnsi="Calibri"/>
          <w:b/>
          <w:bCs/>
          <w:color w:val="00A4EF"/>
          <w:sz w:val="28"/>
          <w:szCs w:val="28"/>
        </w:rPr>
        <w:t xml:space="preserve">4.1 Model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48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48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Model Order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ARIMA(1,1,0)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AR(1) on first-differenced series; one lag captures mean-reversion in annual increments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FY2009–FY2023 (15 years)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Full available history; sufficient for stable parameter estimation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Differencing (d=1)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First difference of series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Revenue/NI/CFO are I(1) — non-stationary in levels, stationary in differences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AR Component (p=1)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One autoregressive lag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Captures momentum: this year's increment influenced by last year's increment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MA Component (q=0)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No moving average term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Parsimony; residuals show no significant autocorrelation at lag 1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Phi (AR coefficient)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Capped at |0.8|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Prevents explosive forecasts; empirical AR coefficients are 0.15–0.45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Confidence Intervals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95% (1.96 sigma)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Interval widens proportional to forecast horizon h^0.5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Metrics Forecasted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5: Revenue, NI, CFO, EBITDA, Gross Profit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Core P&amp;L and cash flow pillars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E2E8F0" w:sz="4" w:space="1"/>
        </w:pBdr>
        <w:spacing w:after="110" w:before="300"/>
      </w:pPr>
      <w:r>
        <w:rPr>
          <w:rFonts w:ascii="Calibri" w:cs="Calibri" w:eastAsia="Calibri" w:hAnsi="Calibri"/>
          <w:b/>
          <w:bCs/>
          <w:color w:val="00A4EF"/>
          <w:sz w:val="28"/>
          <w:szCs w:val="28"/>
        </w:rPr>
        <w:t xml:space="preserve">4.2 Model Assumptions and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Stationarity: All five series were tested for unit roots (ADF-equivalent visual inspection). First differencing achieves stationarity in all cases.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No structural breaks: The model does not explicitly model regime changes (e.g., the 2017 cloud pivot, 2018 tax reform). Users should interpret the 2024–2026 output as a central tendency reflecting the post-2019 growth regime.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No exogenous variables: The baseline ARIMA model uses only the historical series. Macro shocks (e.g., recession, AI capex surge) are captured only within the confidence interval.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Horizon limitation: Three-year forecasts carry meaningfully wider uncertainty than one-year forecasts. The 95% confidence interval for 2026 Revenue spans $197B–$298B.</w:t>
      </w: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0E265A"/>
          <w:sz w:val="38"/>
          <w:szCs w:val="38"/>
        </w:rPr>
        <w:t xml:space="preserve">5. ARIMA Forecast Results  2024–2026</w:t>
      </w:r>
    </w:p>
    <w:p>
      <w:pPr>
        <w:pBdr>
          <w:bottom w:val="single" w:color="00A4EF" w:sz="5" w:space="1"/>
        </w:pBdr>
        <w:spacing w:after="80" w:before="8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The following tables present point forecasts and 95% confidence intervals for each metric. Figures in USD millions. Historical 2023 actuals are shown for continuity.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5.1 Revenue Forecast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800"/>
        <w:gridCol w:w="1800"/>
        <w:gridCol w:w="1800"/>
        <w:gridCol w:w="600"/>
      </w:tblGrid>
      <w:tr>
        <w:tc>
          <w:tcPr>
            <w:tcW w:type="dxa" w:w="156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 ($M)</w:t>
            </w:r>
          </w:p>
        </w:tc>
        <w:tc>
          <w:tcPr>
            <w:tcW w:type="dxa" w:w="18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95% CI Low</w:t>
            </w:r>
          </w:p>
        </w:tc>
        <w:tc>
          <w:tcPr>
            <w:tcW w:type="dxa" w:w="18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95% CI High</w:t>
            </w:r>
          </w:p>
        </w:tc>
        <w:tc>
          <w:tcPr>
            <w:tcW w:type="dxa" w:w="18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YoY Growth</w:t>
            </w:r>
          </w:p>
        </w:tc>
        <w:tc>
          <w:tcPr>
            <w:tcW w:type="dxa" w:w="6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2023 (A)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$211,915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Actual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2024 (F)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$224,718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$207,883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$241,552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+6.0%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Fcst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2025 (F)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$236,365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$202,696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$270,034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+5.2%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Fcst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2026 (F)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$247,401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$196,898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$297,904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+4.7%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Fcst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5.2 Net Income Forecast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800"/>
        <w:gridCol w:w="1800"/>
        <w:gridCol w:w="1800"/>
        <w:gridCol w:w="600"/>
      </w:tblGrid>
      <w:tr>
        <w:tc>
          <w:tcPr>
            <w:tcW w:type="dxa" w:w="156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 Income ($M)</w:t>
            </w:r>
          </w:p>
        </w:tc>
        <w:tc>
          <w:tcPr>
            <w:tcW w:type="dxa" w:w="18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95% CI Low</w:t>
            </w:r>
          </w:p>
        </w:tc>
        <w:tc>
          <w:tcPr>
            <w:tcW w:type="dxa" w:w="18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95% CI High</w:t>
            </w:r>
          </w:p>
        </w:tc>
        <w:tc>
          <w:tcPr>
            <w:tcW w:type="dxa" w:w="18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 Margin</w:t>
            </w:r>
          </w:p>
        </w:tc>
        <w:tc>
          <w:tcPr>
            <w:tcW w:type="dxa" w:w="6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2023 (A)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$72,361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34.1%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Actual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2024 (F)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$77,226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$59,922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$94,530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34.4%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Fcst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2025 (F)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$80,376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$45,768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$114,983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34.0%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Fcst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2026 (F)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$84,804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$32,893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$136,716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34.3%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Fcst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5.3 Cash Flow from Operations Forecast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800"/>
        <w:gridCol w:w="1800"/>
        <w:gridCol w:w="1800"/>
        <w:gridCol w:w="600"/>
      </w:tblGrid>
      <w:tr>
        <w:tc>
          <w:tcPr>
            <w:tcW w:type="dxa" w:w="156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CFO ($M)</w:t>
            </w:r>
          </w:p>
        </w:tc>
        <w:tc>
          <w:tcPr>
            <w:tcW w:type="dxa" w:w="18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95% CI Low</w:t>
            </w:r>
          </w:p>
        </w:tc>
        <w:tc>
          <w:tcPr>
            <w:tcW w:type="dxa" w:w="18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95% CI High</w:t>
            </w:r>
          </w:p>
        </w:tc>
        <w:tc>
          <w:tcPr>
            <w:tcW w:type="dxa" w:w="18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CFO Margin</w:t>
            </w:r>
          </w:p>
        </w:tc>
        <w:tc>
          <w:tcPr>
            <w:tcW w:type="dxa" w:w="6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2023 (A)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$87,582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41.3%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Actual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2024 (F)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$90,393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$80,288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$100,498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40.2%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Fcst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2025 (F)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$96,005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$75,794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$116,215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40.6%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Fcst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2026 (F)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$101,596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$71,280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$131,911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41.1%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Fcst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5.4 EBITDA and Gross Profit Forecasts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1440"/>
        <w:gridCol w:w="1440"/>
        <w:gridCol w:w="1440"/>
        <w:gridCol w:w="1440"/>
        <w:gridCol w:w="1080"/>
      </w:tblGrid>
      <w:tr>
        <w:tc>
          <w:tcPr>
            <w:tcW w:type="dxa" w:w="108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44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EBITDA ($M)</w:t>
            </w:r>
          </w:p>
        </w:tc>
        <w:tc>
          <w:tcPr>
            <w:tcW w:type="dxa" w:w="144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EBITDA CI Low</w:t>
            </w:r>
          </w:p>
        </w:tc>
        <w:tc>
          <w:tcPr>
            <w:tcW w:type="dxa" w:w="144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EBITDA CI High</w:t>
            </w:r>
          </w:p>
        </w:tc>
        <w:tc>
          <w:tcPr>
            <w:tcW w:type="dxa" w:w="144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Gross Profit ($M)</w:t>
            </w:r>
          </w:p>
        </w:tc>
        <w:tc>
          <w:tcPr>
            <w:tcW w:type="dxa" w:w="144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GP CI Low-High</w:t>
            </w:r>
          </w:p>
        </w:tc>
        <w:tc>
          <w:tcPr>
            <w:tcW w:type="dxa" w:w="108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2023 (A)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$102,384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$146,052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Actual</w:t>
            </w:r>
          </w:p>
        </w:tc>
      </w:tr>
      <w:tr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2024 (F)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$107,235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$96,653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$117,818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$155,823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$142,783 – 168,863</w:t>
            </w:r>
          </w:p>
        </w:tc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Fcst</w:t>
            </w:r>
          </w:p>
        </w:tc>
      </w:tr>
      <w:tr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2025 (F)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$112,538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$91,372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$133,703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$164,536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$138,456 – 190,616</w:t>
            </w:r>
          </w:p>
        </w:tc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Fcst</w:t>
            </w:r>
          </w:p>
        </w:tc>
      </w:tr>
      <w:tr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2026 (F)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$118,106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$86,357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$149,854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$172,509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$133,389 – 211,629</w:t>
            </w:r>
          </w:p>
        </w:tc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Fcst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0E265A"/>
          <w:sz w:val="38"/>
          <w:szCs w:val="38"/>
        </w:rPr>
        <w:t xml:space="preserve">6. Strategic Implications</w:t>
      </w:r>
    </w:p>
    <w:p>
      <w:pPr>
        <w:pBdr>
          <w:bottom w:val="single" w:color="00A4EF" w:sz="5" w:space="1"/>
        </w:pBdr>
        <w:spacing w:after="80" w:before="8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The ARIMA forecasts, combined with the earnings quality confirmation, support the following strategic-level conclusions:</w:t>
      </w:r>
    </w:p>
    <w:p>
      <w:pPr>
        <w:spacing w:after="60"/>
      </w:pPr>
    </w:p>
    <w:p>
      <w:pPr>
        <w:pStyle w:val="Heading2"/>
        <w:pBdr>
          <w:bottom w:val="single" w:color="E2E8F0" w:sz="4" w:space="1"/>
        </w:pBdr>
        <w:spacing w:after="110" w:before="300"/>
      </w:pPr>
      <w:r>
        <w:rPr>
          <w:rFonts w:ascii="Calibri" w:cs="Calibri" w:eastAsia="Calibri" w:hAnsi="Calibri"/>
          <w:b/>
          <w:bCs/>
          <w:color w:val="00A4EF"/>
          <w:sz w:val="28"/>
          <w:szCs w:val="28"/>
        </w:rPr>
        <w:t xml:space="preserve">6.1 Cloud + AI Operating Leverage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Microsoft's EBITDA forecast of $118.1B by 2026 against Revenue of $247.4B implies an EBITDA margin of approximately 47.7% — up from the historical average of 36.5%. This margin expansion is consistent with the ongoing revenue mix-shift from on-premise software (lower margin) toward Azure cloud and Microsoft 365 SaaS subscriptions (higher margin, lower cost-to-serve at scale).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1E40AF" w:sz="8"/>
              <w:left w:val="single" w:color="1E40AF" w:sz="20"/>
              <w:bottom w:val="single" w:color="1E40AF" w:sz="8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IMPLICATION</w:t>
            </w:r>
          </w:p>
        </w:tc>
        <w:tc>
          <w:tcPr>
            <w:tcW w:type="dxa" w:w="9000"/>
            <w:tcBorders>
              <w:top w:val="single" w:color="1E40AF" w:sz="8"/>
              <w:left w:val="none" w:color="FFFFFF" w:sz="0"/>
              <w:bottom w:val="single" w:color="1E40AF" w:sz="8"/>
              <w:right w:val="single" w:color="1E40AF" w:sz="8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1"/>
                <w:szCs w:val="21"/>
              </w:rPr>
              <w:t xml:space="preserve">Each additional dollar of Azure revenue carries approximately 65-70 cents of gross profit vs. 45-50 cents for traditional license sales. The ARIMA model does not model this explicitly, but the Gross Profit growth rate (+5.4% p.a.) outpacing Revenue growth (+5.3% p.a.) is consistent with this thesis.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E2E8F0" w:sz="4" w:space="1"/>
        </w:pBdr>
        <w:spacing w:after="110" w:before="300"/>
      </w:pPr>
      <w:r>
        <w:rPr>
          <w:rFonts w:ascii="Calibri" w:cs="Calibri" w:eastAsia="Calibri" w:hAnsi="Calibri"/>
          <w:b/>
          <w:bCs/>
          <w:color w:val="00A4EF"/>
          <w:sz w:val="28"/>
          <w:szCs w:val="28"/>
        </w:rPr>
        <w:t xml:space="preserve">6.2 Cash Generation Discipline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With CFO forecast to exceed $101.6B by 2026, Microsoft will generate more cash than any company in its peer group on an absolute basis. The 15-year average CFO/NI ratio of 1.54x means shareholders are receiving $1.54 in real cash for every $1.00 of reported earnings — a compounding advantage that is structurally embedded in the business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Share buybacks: At the forecast $90-102B CFO range (2024-2026), Microsoft has capacity to return $40-50B per year to shareholders while continuing to invest $28-35B in R&amp;D and capex.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Acquisition capacity: With $87.6B CFO in 2023 and growing, Microsoft can finance transformative acquisitions (e.g., Activision Blizzard at $69B was cash-affordable in a single year's CFO cycle) without equity dilution.</w:t>
      </w:r>
    </w:p>
    <w:p>
      <w:pPr>
        <w:spacing w:after="60"/>
      </w:pPr>
    </w:p>
    <w:p>
      <w:pPr>
        <w:pStyle w:val="Heading2"/>
        <w:pBdr>
          <w:bottom w:val="single" w:color="E2E8F0" w:sz="4" w:space="1"/>
        </w:pBdr>
        <w:spacing w:after="110" w:before="300"/>
      </w:pPr>
      <w:r>
        <w:rPr>
          <w:rFonts w:ascii="Calibri" w:cs="Calibri" w:eastAsia="Calibri" w:hAnsi="Calibri"/>
          <w:b/>
          <w:bCs/>
          <w:color w:val="00A4EF"/>
          <w:sz w:val="28"/>
          <w:szCs w:val="28"/>
        </w:rPr>
        <w:t xml:space="preserve">6.3 Revenue Growth Watch Points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The ARIMA base case projects revenue decelerating from the 2021-2022 peak growth rates (17-19% YoY) to approximately 5-6% annually by 2024-2026. This deceleration is a function of base effects — the law of large numbers at a $200B+ revenue base — rather than market saturation.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92400E" w:sz="8"/>
              <w:left w:val="single" w:color="92400E" w:sz="20"/>
              <w:bottom w:val="single" w:color="92400E" w:sz="8"/>
              <w:right w:val="none" w:color="FFFFFF" w:sz="0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RISK</w:t>
            </w:r>
          </w:p>
        </w:tc>
        <w:tc>
          <w:tcPr>
            <w:tcW w:type="dxa" w:w="9000"/>
            <w:tcBorders>
              <w:top w:val="single" w:color="92400E" w:sz="8"/>
              <w:left w:val="none" w:color="FFFFFF" w:sz="0"/>
              <w:bottom w:val="single" w:color="92400E" w:sz="8"/>
              <w:right w:val="single" w:color="92400E" w:sz="8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1"/>
                <w:szCs w:val="21"/>
              </w:rPr>
              <w:t xml:space="preserve">The lower bound of the 2026 Revenue 95% CI is $196.9B — slightly below 2023 actual ($211.9B). This scenario would require a combination of prolonged enterprise IT budget compression and meaningful Azure share loss, both of which are considered low-probability but not impossible given current AI infrastructure investment cycles.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E2E8F0" w:sz="4" w:space="1"/>
        </w:pBdr>
        <w:spacing w:after="110" w:before="300"/>
      </w:pPr>
      <w:r>
        <w:rPr>
          <w:rFonts w:ascii="Calibri" w:cs="Calibri" w:eastAsia="Calibri" w:hAnsi="Calibri"/>
          <w:b/>
          <w:bCs/>
          <w:color w:val="00A4EF"/>
          <w:sz w:val="28"/>
          <w:szCs w:val="28"/>
        </w:rPr>
        <w:t xml:space="preserve">6.4 Net Income Confidence Interval Widening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The 2026 Net Income confidence interval spans $32.9B to $136.7B — a $104B range driven by historical NI volatility from non-recurring charges (write-downs, tax reform). The central forecast of $84.8B is operationally well-supported. Users of this report should focus on the CFO forecast ($101.6B, narrower CI of $71-132B) as the more reliable earnings proxy, consistent with the r = 0.9666 earnings quality confirmation.</w:t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0E265A"/>
          <w:sz w:val="38"/>
          <w:szCs w:val="38"/>
        </w:rPr>
        <w:t xml:space="preserve">7. Risk Register</w:t>
      </w:r>
    </w:p>
    <w:p>
      <w:pPr>
        <w:pBdr>
          <w:bottom w:val="single" w:color="00A4EF" w:sz="5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3760"/>
      </w:tblGrid>
      <w:tr>
        <w:tc>
          <w:tcPr>
            <w:tcW w:type="dxa" w:w="22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 Factor</w:t>
            </w:r>
          </w:p>
        </w:tc>
        <w:tc>
          <w:tcPr>
            <w:tcW w:type="dxa" w:w="14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76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Forecast Impact &amp; Mitigation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AI Capex overshoot compresses FCF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40AF"/>
                <w:sz w:val="20"/>
                <w:szCs w:val="20"/>
              </w:rPr>
              <w:t xml:space="preserve">Capital Allocation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Azure data center buildout could consume $50-60B annually by 2026, compressing FCF below ARIMA central case. Mitigant: Monitor capex-to-CFO ratio; threshold alert at &gt;55%.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Enterprise IT budget compression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40AF"/>
                <w:sz w:val="20"/>
                <w:szCs w:val="20"/>
              </w:rPr>
              <w:t xml:space="preserve">Macroeconomic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A U.S. or global recession in 2025 could suppress Azure consumption growth. NI lower bound ($32.9B) captures a severe version of this scenario.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Antitrust / regulatory overhang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40AF"/>
                <w:sz w:val="20"/>
                <w:szCs w:val="20"/>
              </w:rPr>
              <w:t xml:space="preserve">Regulatory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EU and U.S. regulatory actions on AI bundling or cloud pricing could constrain Microsoft 365 ARPU growth. Does not threaten near-term CFO.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Cloud price war with AWS/GCP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40AF"/>
                <w:sz w:val="20"/>
                <w:szCs w:val="20"/>
              </w:rPr>
              <w:t xml:space="preserve">Competitive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LOW-MED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Azure gross margin compression from price-matching could reduce Revenue CAGR by 1-2pp. 95% CI lower bound already reflects this scenario.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Non-recurring charges (write-downs)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40AF"/>
                <w:sz w:val="20"/>
                <w:szCs w:val="20"/>
              </w:rPr>
              <w:t xml:space="preserve">Accounting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Historical anomaly years (2012, 2015, 2018) show NI is vulnerable to large write-downs. CFO is resilient to these. Use CFO as primary forecast anchor.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FX headwinds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40AF"/>
                <w:sz w:val="20"/>
                <w:szCs w:val="20"/>
              </w:rPr>
              <w:t xml:space="preserve">Currency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USD strength compresses international revenue when translated. ARIMA is denominated in USD. A 5% USD appreciation reduces Revenue by ~1.5-2%.</w:t>
            </w:r>
          </w:p>
        </w:tc>
      </w:tr>
    </w:tbl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0E265A"/>
          <w:sz w:val="38"/>
          <w:szCs w:val="38"/>
        </w:rPr>
        <w:t xml:space="preserve">8. KPI Monitoring Framework</w:t>
      </w:r>
    </w:p>
    <w:p>
      <w:pPr>
        <w:pBdr>
          <w:bottom w:val="single" w:color="00A4EF" w:sz="5" w:space="1"/>
        </w:pBdr>
        <w:spacing w:after="80" w:before="8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The following KPIs should be tracked quarterly to validate or revise the ARIMA forecast trajectory. Breach of any red threshold warrants a model update.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1560"/>
        <w:gridCol w:w="2280"/>
      </w:tblGrid>
      <w:tr>
        <w:tc>
          <w:tcPr>
            <w:tcW w:type="dxa" w:w="24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56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Green</w:t>
            </w:r>
          </w:p>
        </w:tc>
        <w:tc>
          <w:tcPr>
            <w:tcW w:type="dxa" w:w="156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Amber</w:t>
            </w:r>
          </w:p>
        </w:tc>
        <w:tc>
          <w:tcPr>
            <w:tcW w:type="dxa" w:w="156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Red</w:t>
            </w:r>
          </w:p>
        </w:tc>
        <w:tc>
          <w:tcPr>
            <w:tcW w:type="dxa" w:w="228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Link to Forecast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CFO / Net Income Ratio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65F46"/>
                <w:sz w:val="20"/>
                <w:szCs w:val="20"/>
              </w:rPr>
              <w:t xml:space="preserve">&gt; 1.20x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20"/>
                <w:szCs w:val="20"/>
              </w:rPr>
              <w:t xml:space="preserve">1.0–1.2x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&lt; 1.0x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Primary earnings quality guard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Azure Revenue Growth YoY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65F46"/>
                <w:sz w:val="20"/>
                <w:szCs w:val="20"/>
              </w:rPr>
              <w:t xml:space="preserve">&gt; 20%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20"/>
                <w:szCs w:val="20"/>
              </w:rPr>
              <w:t xml:space="preserve">10–20%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&lt; 10%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Revenue CAGR key driver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EBITDA Margin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65F46"/>
                <w:sz w:val="20"/>
                <w:szCs w:val="20"/>
              </w:rPr>
              <w:t xml:space="preserve">&gt; 45%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20"/>
                <w:szCs w:val="20"/>
              </w:rPr>
              <w:t xml:space="preserve">40–45%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&lt; 40%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Profitability trajectory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Capex / CFO Ratio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65F46"/>
                <w:sz w:val="20"/>
                <w:szCs w:val="20"/>
              </w:rPr>
              <w:t xml:space="preserve">&lt; 35%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20"/>
                <w:szCs w:val="20"/>
              </w:rPr>
              <w:t xml:space="preserve">35–50%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&gt; 50%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FCF generation capacity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Net Profit Margin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65F46"/>
                <w:sz w:val="20"/>
                <w:szCs w:val="20"/>
              </w:rPr>
              <w:t xml:space="preserve">&gt; 32%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20"/>
                <w:szCs w:val="20"/>
              </w:rPr>
              <w:t xml:space="preserve">25–32%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&lt; 25%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NI forecast anchor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Sloan Accrual Ratio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65F46"/>
                <w:sz w:val="20"/>
                <w:szCs w:val="20"/>
              </w:rPr>
              <w:t xml:space="preserve">&lt; -8%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20"/>
                <w:szCs w:val="20"/>
              </w:rPr>
              <w:t xml:space="preserve">-8% to 0%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&gt; 0%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Earnings manipulation sentinel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Revenue YoY Growth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65F46"/>
                <w:sz w:val="20"/>
                <w:szCs w:val="20"/>
              </w:rPr>
              <w:t xml:space="preserve">&gt; 8%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20"/>
                <w:szCs w:val="20"/>
              </w:rPr>
              <w:t xml:space="preserve">4–8%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&lt; 4%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ARIMA base case assumption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0E265A"/>
          <w:sz w:val="38"/>
          <w:szCs w:val="38"/>
        </w:rPr>
        <w:t xml:space="preserve">9. Conclusion</w:t>
      </w:r>
    </w:p>
    <w:p>
      <w:pPr>
        <w:pBdr>
          <w:bottom w:val="single" w:color="00A4EF" w:sz="5" w:space="1"/>
        </w:pBdr>
        <w:spacing w:after="80" w:before="8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Microsoft enters the 2024–2026 forecast window from a position of exceptional financial strength. The ARIMA model, calibrated on 15 years of high-quality audited financials (r(CFO, NI) = 0.9666), produces a central-case trajectory of: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20"/>
        <w:gridCol w:w="2120"/>
        <w:gridCol w:w="2520"/>
      </w:tblGrid>
      <w:tr>
        <w:tc>
          <w:tcPr>
            <w:tcW w:type="dxa" w:w="26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2024 Forecast</w:t>
            </w:r>
          </w:p>
        </w:tc>
        <w:tc>
          <w:tcPr>
            <w:tcW w:type="dxa" w:w="212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2026 Forecast</w:t>
            </w:r>
          </w:p>
        </w:tc>
        <w:tc>
          <w:tcPr>
            <w:tcW w:type="dxa" w:w="252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3-Year CAGR (from 2023)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Revenue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$224.7B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$247.4B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~5.3%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Net Income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$77.2B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$84.8B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~5.4%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Cash Flow from Operating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$90.4B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$101.6B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~5.1%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EBITDA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$107.2B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$118.1B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~4.9%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$155.8B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$172.5B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~5.7%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These projections reflect a deliberate conservatism relative to the historical 2009–2023 CAGR of 9.6-12.1% — appropriate given the base-effect of operating at $200B+ revenue scale. The forecast does not require any extraordinary assumptions: it requires only that Microsoft maintains its cloud transition momentum, continues generating $1.50+ in operating cash per dollar of net income, and avoids large non-recurring write-downs of the 2012-2018 variety.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0F766E" w:sz="8"/>
              <w:left w:val="single" w:color="0F766E" w:sz="20"/>
              <w:bottom w:val="single" w:color="0F766E" w:sz="8"/>
              <w:right w:val="none" w:color="FFFFFF" w:sz="0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9000"/>
            <w:tcBorders>
              <w:top w:val="single" w:color="0F766E" w:sz="8"/>
              <w:left w:val="none" w:color="FFFFFF" w:sz="0"/>
              <w:bottom w:val="single" w:color="0F766E" w:sz="8"/>
              <w:right w:val="single" w:color="0F766E" w:sz="8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1"/>
                <w:szCs w:val="21"/>
              </w:rPr>
              <w:t xml:space="preserve">Track the CFO/NI ratio as the primary earnings quality sentinel on a quarterly basis. Any sustained reading below 1.20x should trigger an ARIMA model revision and a strategic review of accrual trends. The current ratio of 1.21x (2023) warrants monitoring — it is the lowest in the 15-year history, though still comfortably above the 1.0 danger threshold.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bottom w:val="single" w:color="CBD5E1" w:sz="5" w:space="1"/>
        </w:pBdr>
        <w:spacing w:after="80" w:before="80"/>
      </w:pP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End of Strategic Growth Report  |  Microsoft Corporation  |  ARIMA Forecast 2024–2026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64748B"/>
          <w:sz w:val="18"/>
          <w:szCs w:val="18"/>
        </w:rPr>
        <w:t xml:space="preserve">Financial Strategy Team  |  Confidential  |  Internal Use Only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6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 |  Internal Use Only  |  Financial Strategy Team  |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spacing w:after="80"/>
    </w:pPr>
    <w:r>
      <w:rPr>
        <w:rFonts w:ascii="Calibri" w:cs="Calibri" w:eastAsia="Calibri" w:hAnsi="Calibri"/>
        <w:color w:val="64748B"/>
        <w:sz w:val="17"/>
        <w:szCs w:val="17"/>
      </w:rPr>
      <w:t xml:space="preserve">Microsoft Corporation  |  Strategic Growth Report  |  ARIMA Forecast 2024–2026</w:t>
    </w:r>
    <w:r>
      <w:rPr>
        <w:rFonts w:ascii="Calibri" w:cs="Calibri" w:eastAsia="Calibri" w:hAnsi="Calibri"/>
        <w:color w:val="64748B"/>
        <w:sz w:val="17"/>
        <w:szCs w:val="17"/>
      </w:rPr>
      <w:t xml:space="preserve">     |     Financial Strategy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7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Calibri" w:cs="Calibri" w:eastAsia="Calibri" w:hAnsi="Calibri"/>
      <w:b/>
      <w:bCs/>
      <w:color w:val="0E265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10" w:before="300"/>
      <w:outlineLvl w:val="1"/>
    </w:pPr>
    <w:rPr>
      <w:rFonts w:ascii="Calibri" w:cs="Calibri" w:eastAsia="Calibri" w:hAnsi="Calibri"/>
      <w:b/>
      <w:bCs/>
      <w:color w:val="00A4E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2026-05-06T12:25:38.886Z</dcterms:created>
  <dcterms:modified xsi:type="dcterms:W3CDTF">2026-05-06T12:25:38.886Z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