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PRODUCT REQUIREMENTS DOCUMENT</w:t>
      </w:r>
    </w:p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0E265A"/>
          <w:sz w:val="58"/>
          <w:szCs w:val="58"/>
        </w:rPr>
        <w:t xml:space="preserve">Loyalty &amp; Advocacy Feature</w:t>
      </w:r>
    </w:p>
    <w:p>
      <w:pPr>
        <w:spacing w:after="18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Plugging the Funnel Leak — Converting Slow Adopters into Promoters</w:t>
      </w:r>
    </w:p>
    <w:p>
      <w:pPr>
        <w:pBdr>
          <w:bottom w:val="single" w:color="1C4ED8" w:sz="5" w:space="1"/>
        </w:pBdr>
        <w:spacing w:after="80" w:before="80"/>
      </w:pPr>
    </w:p>
    <w:p>
      <w:pPr>
        <w:spacing w:after="6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Product Requirements Document (PRD)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Loyalty &amp; Advocacy Program  v1.0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Product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RavenStack SaaS Platform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Author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Product Strategy Team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Draft  —  Under Review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Data Basis</w:t>
            </w:r>
          </w:p>
        </w:tc>
        <w:tc>
          <w:tcPr>
            <w:tcW w:type="dxa" w:w="4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0"/>
                <w:szCs w:val="20"/>
              </w:rPr>
              <w:t xml:space="preserve">500 accounts  |  5,000 subs  |  600 churn events  |  25,000 usage records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Calibri" w:cs="Calibri" w:eastAsia="Calibri" w:hAnsi="Calibri"/>
          <w:color w:val="64748B"/>
          <w:sz w:val="17"/>
          <w:szCs w:val="17"/>
        </w:rPr>
        <w:t xml:space="preserve">Confidential  |  Internal Use Only  |  Product Strategy Team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1. Problem Statement  —  The Funnel Leak</w:t>
      </w:r>
    </w:p>
    <w:p>
      <w:pPr>
        <w:pBdr>
          <w:bottom w:val="single" w:color="1C4ED8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RavenStack has a critical revenue inefficiency at the conversion and expansion stages. Despite 100% of accounts eventually starting a subscription, only 54.2% convert within the first 30 days. The remaining 45.8% (229 accounts) represent a disengagement window that correlates directly with elevated churn risk and lost expansion revenue.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1C4ED8" w:sz="8"/>
              <w:left w:val="single" w:color="1C4ED8" w:sz="20"/>
              <w:bottom w:val="single" w:color="1C4ED8" w:sz="8"/>
              <w:right w:val="none" w:color="FFFFFF" w:sz="0"/>
            </w:tcBorders>
            <w:shd w:fill="DBEAF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DATA</w:t>
            </w:r>
          </w:p>
        </w:tc>
        <w:tc>
          <w:tcPr>
            <w:tcW w:type="dxa" w:w="9000"/>
            <w:tcBorders>
              <w:top w:val="single" w:color="1C4ED8" w:sz="8"/>
              <w:left w:val="none" w:color="FFFFFF" w:sz="0"/>
              <w:bottom w:val="single" w:color="1C4ED8" w:sz="8"/>
              <w:right w:val="single" w:color="1C4ED8" w:sz="8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Funnel: 500 signups → 271 convert in 30d (54.2%) → 221 retained (44.2%) → only 22 upgraded (4.4%). Three-stage leak costs an estimated 55% of addressable expansion ARR. Churn events accelerated from 20 in Jan 2024 to 117 in Dec 2024 — a 485% increase.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C4ED8"/>
          <w:sz w:val="27"/>
          <w:szCs w:val="27"/>
        </w:rPr>
        <w:t xml:space="preserve">1.1 Quantified Leak at Each Funnel Stage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00"/>
        <w:gridCol w:w="1800"/>
        <w:gridCol w:w="1800"/>
        <w:gridCol w:w="2940"/>
      </w:tblGrid>
      <w:tr>
        <w:tc>
          <w:tcPr>
            <w:tcW w:type="dxa" w:w="7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1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29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Leak / Insight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Signup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100%</w:t>
            </w:r>
          </w:p>
        </w:tc>
        <w:tc>
          <w:tcPr>
            <w:tcW w:type="dxa" w:w="2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Baseline — all accounts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30-Day Conversion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271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54.2%</w:t>
            </w:r>
          </w:p>
        </w:tc>
        <w:tc>
          <w:tcPr>
            <w:tcW w:type="dxa" w:w="2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229 slow-converters — PRIMARY loyalty target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Retained (no churn)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221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44.2%</w:t>
            </w:r>
          </w:p>
        </w:tc>
        <w:tc>
          <w:tcPr>
            <w:tcW w:type="dxa" w:w="2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50 converted but later churned (9.8%)</w:t>
            </w:r>
          </w:p>
        </w:tc>
      </w:tr>
      <w:tr>
        <w:tc>
          <w:tcPr>
            <w:tcW w:type="dxa" w:w="7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265A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Upgraded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4.4%</w:t>
            </w:r>
          </w:p>
        </w:tc>
        <w:tc>
          <w:tcPr>
            <w:tcW w:type="dxa" w:w="29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CRITICAL GAP — expansion revenue severely under-captured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C4ED8"/>
          <w:sz w:val="27"/>
          <w:szCs w:val="27"/>
        </w:rPr>
        <w:t xml:space="preserve">1.2 Root Causes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Features gap is the #1 churn reason (19.0% of 600 events) — accounts do not find enough value within 30 days.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Event-sourced accounts: 46.9% 30d conv. AND 30.2% churn — worst acquisition channel by far.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Partner-sourced accounts churn at only 14.6% vs 30.2% event — relationship acquisition is the model to replicate.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Only 10.6% of subscriptions ever upgrade — zero structured expansion motion exists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Churn is accelerating: 20 events Jan 2024 to 117 Dec 2024 (+485%). Loyalty intervention is urgent.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2. Feature Goal</w:t>
      </w:r>
    </w:p>
    <w:p>
      <w:pPr>
        <w:pBdr>
          <w:bottom w:val="single" w:color="1C4ED8" w:sz="5" w:space="1"/>
        </w:pBdr>
        <w:spacing w:after="80" w:before="8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Build and launch a Loyalty &amp; Advocacy Program that (1) accelerates 30-day conversion for slow adopters, (2) reduces post-conversion churn by increasing perceived value before renewal moments, and (3) converts retained power users into active advocates who generate higher-quality referral acquisition.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65F46" w:sz="8"/>
              <w:left w:val="single" w:color="065F46" w:sz="20"/>
              <w:bottom w:val="single" w:color="065F46" w:sz="8"/>
              <w:right w:val="none" w:color="FFFFFF" w:sz="0"/>
            </w:tcBorders>
            <w:shd w:fill="D1FAE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NORTH STAR</w:t>
            </w:r>
          </w:p>
        </w:tc>
        <w:tc>
          <w:tcPr>
            <w:tcW w:type="dxa" w:w="9000"/>
            <w:tcBorders>
              <w:top w:val="single" w:color="065F46" w:sz="8"/>
              <w:left w:val="none" w:color="FFFFFF" w:sz="0"/>
              <w:bottom w:val="single" w:color="065F46" w:sz="8"/>
              <w:right w:val="single" w:color="065F46" w:sz="8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Increase 30-day conversion from 54.2% to 68% within 6 months AND reduce all-cause churn from 22.0% to 16% within 12 months. Prioritise FinTech/Basic (67.6% conv.) and HealthTech/Enterprise (59.3% conv.) as Wave 1 advocacy anchors.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3. Target Users</w:t>
      </w:r>
    </w:p>
    <w:p>
      <w:pPr>
        <w:pBdr>
          <w:bottom w:val="single" w:color="1C4ED8" w:sz="5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80"/>
        <w:gridCol w:w="2480"/>
      </w:tblGrid>
      <w:tr>
        <w:tc>
          <w:tcPr>
            <w:tcW w:type="dxa" w:w="20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6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48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 Role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Slow Converter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Non-trial, &gt;30d convert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High churn risk in engagement window.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Points milestones at day 14 and 28. Score progress bar.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Power User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Top-quartile feature usage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High engagement, no expansion ask.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Advocacy track: referral code, testimonial, beta access.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At-Risk Account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Cybersecurity/Event or DevTools/Enterprise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Low conversion, features gap stated.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Loyalty score dashboard. CSM alert at score &lt; 40.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Champion User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FinTech/Basic or HealthTech/Enterprise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67%+ conversion already. Best advocates.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VIP tier: co-marketing, case study, priority SLA.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Churned/Reactivated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10.2% of churn events</w:t>
            </w:r>
          </w:p>
        </w:tc>
        <w:tc>
          <w:tcPr>
            <w:tcW w:type="dxa" w:w="2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Came back but fragile trust.</w:t>
            </w:r>
          </w:p>
        </w:tc>
        <w:tc>
          <w:tcPr>
            <w:tcW w:type="dxa" w:w="24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Re-onboarding track. Double points in first 90 days.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4. Functional Requirements</w:t>
      </w:r>
    </w:p>
    <w:p>
      <w:pPr>
        <w:pBdr>
          <w:bottom w:val="single" w:color="1C4ED8" w:sz="5" w:space="1"/>
        </w:pBdr>
        <w:spacing w:after="80" w:before="80"/>
      </w:pPr>
    </w:p>
    <w:p>
      <w:pPr>
        <w:pStyle w:val="Heading2"/>
        <w:pBdr>
          <w:bottom w:val="single" w:color="E2E8F0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C4ED8"/>
          <w:sz w:val="27"/>
          <w:szCs w:val="27"/>
        </w:rPr>
        <w:t xml:space="preserve">4.1 Loyalty Score Engine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A real-time composite score (0-100) per account that drives tier assignment and automated interventions.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0891B2" w:sz="8"/>
              <w:left w:val="single" w:color="0891B2" w:sz="20"/>
              <w:bottom w:val="single" w:color="0891B2" w:sz="8"/>
              <w:right w:val="none" w:color="FFFFFF" w:sz="0"/>
            </w:tcBorders>
            <w:shd w:fill="CCFB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891B2"/>
                <w:sz w:val="20"/>
                <w:szCs w:val="20"/>
              </w:rPr>
              <w:t xml:space="preserve">FORMULA</w:t>
            </w:r>
          </w:p>
        </w:tc>
        <w:tc>
          <w:tcPr>
            <w:tcW w:type="dxa" w:w="9000"/>
            <w:tcBorders>
              <w:top w:val="single" w:color="0891B2" w:sz="8"/>
              <w:left w:val="none" w:color="FFFFFF" w:sz="0"/>
              <w:bottom w:val="single" w:color="0891B2" w:sz="8"/>
              <w:right w:val="single" w:color="0891B2" w:sz="8"/>
            </w:tcBorders>
            <w:shd w:fill="CCFB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E2740"/>
                <w:sz w:val="21"/>
                <w:szCs w:val="21"/>
              </w:rPr>
              <w:t xml:space="preserve">Loyalty Score = (0.30 x Feature Breadth) + (0.25 x Feature Frequency) + (0.20 x Support Health) + (0.15 x Tenure) + (0.10 x Expansion Signal)  |  All sub-scores normalised 0-100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360"/>
        <w:gridCol w:w="3400"/>
      </w:tblGrid>
      <w:tr>
        <w:tc>
          <w:tcPr>
            <w:tcW w:type="dxa" w:w="2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3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Feature Breadth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feature_usage.feature_name (unique)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30%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Unique features in 30d / 20. High breadth = deep integration.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Feature Frequency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feature_usage.usage_count (sum, 30d)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25%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Sum clipped at 500 / 500. High frequency = habit formed.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Support Health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support_tickets.escalation_flag (inverted)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20%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100 - (escalation_rate x 100). High = satisfied.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Tenure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accounts.signup_date (days since)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15%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Days / 365, capped at 2 years. Long tenure = switching cost.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Expansion Signal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18"/>
                <w:szCs w:val="18"/>
              </w:rPr>
              <w:t xml:space="preserve">upgrade_flag + seats growth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10%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Binary 1 if upgraded/added seats in 90d. Else 0.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C4ED8"/>
          <w:sz w:val="27"/>
          <w:szCs w:val="27"/>
        </w:rPr>
        <w:t xml:space="preserve">4.2 Loyalty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1440"/>
        <w:gridCol w:w="2400"/>
        <w:gridCol w:w="2640"/>
      </w:tblGrid>
      <w:tr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Accounts</w:t>
            </w:r>
          </w:p>
        </w:tc>
        <w:tc>
          <w:tcPr>
            <w:tcW w:type="dxa" w:w="2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Benefits</w:t>
            </w:r>
          </w:p>
        </w:tc>
        <w:tc>
          <w:tcPr>
            <w:tcW w:type="dxa" w:w="26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Automated Action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BRONZE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92400E"/>
                <w:sz w:val="20"/>
                <w:szCs w:val="20"/>
              </w:rPr>
              <w:t xml:space="preserve">0-30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~90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Onboarding checklist, feature unlock tips, in-app milestone nudges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CSM alert at day 14 if score &lt; 25. Email drip: features not tried.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SILVER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31-60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~180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Priority support, QBR invitation, beta feature access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Auto-invite to success webinar at day 30. Expansion nudge at score 55+.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GOLD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20"/>
                <w:szCs w:val="20"/>
              </w:rPr>
              <w:t xml:space="preserve">61-85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~150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Dedicated CSM, co-marketing, case study, 5% renewal discount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Referral code issued at score 65. Advocacy survey at score 75.</w:t>
            </w:r>
          </w:p>
        </w:tc>
      </w:tr>
      <w:tr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PLATINUM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C4ED8"/>
                <w:sz w:val="20"/>
                <w:szCs w:val="20"/>
              </w:rPr>
              <w:t xml:space="preserve">86-100</w:t>
            </w:r>
          </w:p>
        </w:tc>
        <w:tc>
          <w:tcPr>
            <w:tcW w:type="dxa" w:w="14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~30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Executive sponsor, roadmap input, public testimonial, partner badge</w:t>
            </w:r>
          </w:p>
        </w:tc>
        <w:tc>
          <w:tcPr>
            <w:tcW w:type="dxa" w:w="26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Auto-enrol in Partner Program. LinkedIn co-announcement.</w:t>
            </w:r>
          </w:p>
        </w:tc>
      </w:tr>
    </w:tbl>
    <w:p>
      <w:pPr>
        <w:spacing w:after="60"/>
      </w:pPr>
    </w:p>
    <w:p>
      <w:pPr>
        <w:pStyle w:val="Heading2"/>
        <w:pBdr>
          <w:bottom w:val="single" w:color="E2E8F0" w:sz="4" w:space="1"/>
        </w:pBdr>
        <w:spacing w:after="100" w:before="260"/>
      </w:pPr>
      <w:r>
        <w:rPr>
          <w:rFonts w:ascii="Calibri" w:cs="Calibri" w:eastAsia="Calibri" w:hAnsi="Calibri"/>
          <w:b/>
          <w:bCs/>
          <w:color w:val="1C4ED8"/>
          <w:sz w:val="27"/>
          <w:szCs w:val="27"/>
        </w:rPr>
        <w:t xml:space="preserve">4.3 Advocacy Track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891B2"/>
          <w:sz w:val="23"/>
          <w:szCs w:val="23"/>
        </w:rPr>
        <w:t xml:space="preserve">FR-01: Referral Programme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Gold/Platinum accounts receive unique referral code with trackable attribution.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Reward: referring account gets 10% MRR credit x 3 months. Referred account gets 30 days free.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In-app referral dashboard: invitations sent, conversions, credits earned.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Data basis: Organic accounts convert at 64.0% with 17.5% churn — referral mimics this profile.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891B2"/>
          <w:sz w:val="23"/>
          <w:szCs w:val="23"/>
        </w:rPr>
        <w:t xml:space="preserve">FR-02: Milestone Notification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In-app notification at day 7, 14, 21, 30 showing score progress and next milestone.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Email triggered at Bronze-&gt;Silver (score 30) and Silver-&gt;Gold (score 60) thresholds.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Slack integration for DevTools/Cybersecurity segment at milestone events.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891B2"/>
          <w:sz w:val="23"/>
          <w:szCs w:val="23"/>
        </w:rPr>
        <w:t xml:space="preserve">FR-03: Partner Advocacy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Auto-issued at Platinum tier. Embeddable badge for customer website/LinkedIn.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Co-marketing landing page: "[Company] runs on RavenStack" with logo and testimonial.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Scales the partner-sourced channel (14.6% churn) which is currently at only 89 accounts.</w:t>
      </w:r>
    </w:p>
    <w:p>
      <w:pPr>
        <w:spacing w:after="60"/>
      </w:pP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0891B2"/>
          <w:sz w:val="23"/>
          <w:szCs w:val="23"/>
        </w:rPr>
        <w:t xml:space="preserve">FR-04: CSM Loyalty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All accounts sorted by loyalty score with 30-day trend 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Red alert when score drops &gt;15 points in 14 days — auto-creates CSM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1E2740"/>
          <w:sz w:val="22"/>
          <w:szCs w:val="22"/>
        </w:rPr>
        <w:t xml:space="preserve">Segment filters: Industry, Plan Tier, Referral Source, Country — aligned to ThoughtSpot Liveboard.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5. Acceptance Criteria &amp; Success Metrics</w:t>
      </w:r>
    </w:p>
    <w:p>
      <w:pPr>
        <w:pBdr>
          <w:bottom w:val="single" w:color="1C4ED8" w:sz="5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160"/>
        <w:gridCol w:w="2200"/>
      </w:tblGrid>
      <w:tr>
        <w:tc>
          <w:tcPr>
            <w:tcW w:type="dxa" w:w="2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2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1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(6mo)</w:t>
            </w:r>
          </w:p>
        </w:tc>
        <w:tc>
          <w:tcPr>
            <w:tcW w:type="dxa" w:w="22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30-Day Conversion Rate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54.2%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68%  (+13.8pp)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Sub start date within 30d of signup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All-Cause Churn Rate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22.0%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16%  (-6pp)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Churn events / active accounts monthly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Upgrade Rate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4.4%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12%  (+7.6pp)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Upgrade flag within 90d of enrolment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Referral Acquisition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~0%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15% of new signups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Referral code attribution in signup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Loyalty Programme Enrolment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70% of active accounts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Accounts with score computed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Gold/Platinum Accounts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35% of enrolled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Score &gt;= 61 for 30+ days sustained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Advocacy NPS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&gt;= 50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Post-milestone survey NPS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CSM Alert Response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&gt; 80% within 24h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Alert to logged action timestamp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6. Segment Rollout</w:t>
      </w:r>
    </w:p>
    <w:p>
      <w:pPr>
        <w:pBdr>
          <w:bottom w:val="single" w:color="1C4ED8" w:sz="5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2520"/>
        <w:gridCol w:w="1800"/>
        <w:gridCol w:w="1800"/>
        <w:gridCol w:w="2400"/>
      </w:tblGrid>
      <w:tr>
        <w:tc>
          <w:tcPr>
            <w:tcW w:type="dxa" w:w="8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Wave</w:t>
            </w:r>
          </w:p>
        </w:tc>
        <w:tc>
          <w:tcPr>
            <w:tcW w:type="dxa" w:w="252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30d Conv.</w:t>
            </w:r>
          </w:p>
        </w:tc>
        <w:tc>
          <w:tcPr>
            <w:tcW w:type="dxa" w:w="18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Churn</w:t>
            </w:r>
          </w:p>
        </w:tc>
        <w:tc>
          <w:tcPr>
            <w:tcW w:type="dxa" w:w="2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Wave 1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FinTech + Basic + Organic (n=34)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67.6%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22.3%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Highest conv. → fastest advocacy ROI. Referral code issuance.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Wave 1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HealthTech + Enterprise + Partner (n=27)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59.3%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21.9%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Partner channel lowest churn. Deepens partnership pipeline.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Wave 1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EdTech + Any + Organic (n=28)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60.7%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16.5%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Low churn + high conv = natural Platinum pipeline.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Wave 2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DevTools + Basic (n=36)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61.1%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31.0%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High conv but highest churn. Loyalty score for early warning.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Wave 2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Cybersecurity + Enterprise (n=31)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54.8%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16.0%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Below-avg conv, low churn. Milestone nudges to accelerate.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Wave 3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Any + Event-sourced (n=96)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46.9%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30.2%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Highest-risk. Bronze tier onboarding drip campaign.</w:t>
            </w:r>
          </w:p>
        </w:tc>
      </w:tr>
      <w:tr>
        <w:tc>
          <w:tcPr>
            <w:tcW w:type="dxa" w:w="8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Wave 3</w:t>
            </w:r>
          </w:p>
        </w:tc>
        <w:tc>
          <w:tcPr>
            <w:tcW w:type="dxa" w:w="25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DevTools + Enterprise (n=35)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42.9%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31.0%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Worst profile. CSM alert + features-gap intervention required.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7. Risks &amp; Mitigations</w:t>
      </w:r>
    </w:p>
    <w:p>
      <w:pPr>
        <w:pBdr>
          <w:bottom w:val="single" w:color="1C4ED8" w:sz="5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60"/>
        <w:gridCol w:w="960"/>
        <w:gridCol w:w="5040"/>
      </w:tblGrid>
      <w:tr>
        <w:tc>
          <w:tcPr>
            <w:tcW w:type="dxa" w:w="2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9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9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04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Score gaming — inflate usage for rewards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Breadth (unique features) not volume. Anomaly detection on session bursts.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CSM alert fatigue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Max 2 alerts/week per CSM. Auto-prioritise by ARR. Snooze requires reason code.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Referral abuse — fake accounts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1FAE5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Credit released only after first billing cycle complete. KYC at signup.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Low UI adoption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Loyalty score embedded in homepage — no new page. In-app tooltip on first post-launch login.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December churn acceleration already in crisis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91B1B"/>
                <w:sz w:val="20"/>
                <w:szCs w:val="20"/>
              </w:rPr>
              <w:t xml:space="preserve">High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Wave 1 by end of Q2 to intercept. Manual CSM outreach to 3+ consecutive score drops.</w:t>
            </w:r>
          </w:p>
        </w:tc>
      </w:tr>
    </w:tbl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0E265A"/>
          <w:sz w:val="38"/>
          <w:szCs w:val="38"/>
        </w:rPr>
        <w:t xml:space="preserve">8. Delivery Timeline</w:t>
      </w:r>
    </w:p>
    <w:p>
      <w:pPr>
        <w:pBdr>
          <w:bottom w:val="single" w:color="1C4ED8" w:sz="5" w:space="1"/>
        </w:pBd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560"/>
        <w:gridCol w:w="1200"/>
      </w:tblGrid>
      <w:tr>
        <w:tc>
          <w:tcPr>
            <w:tcW w:type="dxa" w:w="12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56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200"/>
            <w:tcBorders>
              <w:top w:val="single" w:color="0E265A" w:sz="6"/>
              <w:left w:val="single" w:color="0E265A" w:sz="6"/>
              <w:bottom w:val="single" w:color="0E265A" w:sz="6"/>
              <w:right w:val="single" w:color="0E265A" w:sz="6"/>
            </w:tcBorders>
            <w:shd w:fill="0E265A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S1-S2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Discovery &amp; Design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Loyalty score formula. Data model. Figma wireframes. Segment rollout plan signed off.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PM + DS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Score Engine Backend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Score computation service. Real-time API. Tier assignment. Audit logging.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Backend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In-App Dashboard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Score widget in account home. Milestone timeline. Tier badge. CSM alert system.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Referral Programme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Referral code generation. Attribution tracking. Credit calculation. Referral dashboard.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Backend + FE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Advocacy Track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Partner badge. Co-marketing page builder. Testimonial flow. Beta access gate.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Product + Mktg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Wave 1 Launch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FinTech/Basic + HealthTech/Enterprise + EdTech rollout. A/B vs control. CSM training.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4ED8"/>
                <w:sz w:val="20"/>
                <w:szCs w:val="20"/>
              </w:rPr>
              <w:t xml:space="preserve">S8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740"/>
                <w:sz w:val="20"/>
                <w:szCs w:val="20"/>
              </w:rPr>
              <w:t xml:space="preserve">Wave 2-3 Rollout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740"/>
                <w:sz w:val="20"/>
                <w:szCs w:val="20"/>
              </w:rPr>
              <w:t xml:space="preserve">Full rollout. Wave 3 drip campaigns. KPI performance review.</w:t>
            </w:r>
          </w:p>
        </w:tc>
        <w:tc>
          <w:tcPr>
            <w:tcW w:type="dxa" w:w="1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64748B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CBD5E1" w:sz="5" w:space="1"/>
        </w:pBdr>
        <w:spacing w:after="80" w:before="80"/>
      </w:pPr>
    </w:p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64748B"/>
          <w:sz w:val="20"/>
          <w:szCs w:val="20"/>
        </w:rPr>
        <w:t xml:space="preserve">End of PRD  |  Loyalty &amp; Advocacy Feature  |  RavenStack  |  v1.0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6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 |  Internal Use Only  |  Product Strategy Team  |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80"/>
    </w:pPr>
    <w:r>
      <w:rPr>
        <w:rFonts w:ascii="Calibri" w:cs="Calibri" w:eastAsia="Calibri" w:hAnsi="Calibri"/>
        <w:color w:val="64748B"/>
        <w:sz w:val="17"/>
        <w:szCs w:val="17"/>
      </w:rPr>
      <w:t xml:space="preserve">RavenStack  |  Loyalty &amp; Advocacy Feature PRD v1.0  |  Product Strategy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7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E265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1C4ED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0891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2026-05-06T13:25:41.070Z</dcterms:created>
  <dcterms:modified xsi:type="dcterms:W3CDTF">2026-05-06T13:25:41.087Z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