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4D4E49">
      <w:pPr>
        <w:pStyle w:val="159"/>
        <w:pBdr/>
        <w:spacing w:line="360" w:lineRule="auto"/>
        <w:ind/>
        <w:jc w:val="center"/>
        <w:rPr>
          <w:rFonts w:ascii="Arial" w:hAnsi="Arial" w:cs="Arial"/>
          <w:sz w:val="40"/>
          <w:szCs w:val="144"/>
        </w:rPr>
      </w:pPr>
      <w:r>
        <w:rPr>
          <w:rFonts w:ascii="Arial" w:hAnsi="Arial" w:eastAsia="Arial" w:cs="Arial"/>
          <w:b/>
          <w:color w:val="000000"/>
          <w:sz w:val="40"/>
          <w:szCs w:val="144"/>
          <w:lang w:val="es-EC"/>
        </w:rPr>
        <w:t xml:space="preserve">C</w:t>
      </w:r>
      <w:r>
        <w:rPr>
          <w:rFonts w:ascii="Arial" w:hAnsi="Arial" w:eastAsia="Arial" w:cs="Arial"/>
          <w:b/>
          <w:color w:val="000000"/>
          <w:sz w:val="40"/>
          <w:szCs w:val="144"/>
        </w:rPr>
        <w:t xml:space="preserve">ONTEXTO DEL PROYECTO</w:t>
      </w:r>
      <w:r>
        <w:rPr>
          <w:rFonts w:ascii="Arial" w:hAnsi="Arial" w:eastAsia="Arial" w:cs="Arial"/>
          <w:sz w:val="144"/>
          <w:szCs w:val="144"/>
        </w:rPr>
      </w:r>
    </w:p>
    <w:p w14:paraId="4C238E8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Codea VR 2</w:t>
      </w:r>
      <w:r>
        <w:rPr>
          <w:rFonts w:ascii="Arial" w:hAnsi="Arial" w:eastAsia="Arial" w:cs="Arial"/>
          <w:color w:val="000000"/>
          <w:sz w:val="24"/>
        </w:rPr>
        <w:t xml:space="preserve">: escape room educativo en VR (Meta Quest 3S) para desarrollar pensamiento computacional en estudiantes de 8-17 años de contexto rural en Ecuador. Respaldo institucional de Yachay Tech. Unity 6.4.1f1, Meta XR SDK 203.0.2. Deadline: 30 sept 2026.</w:t>
      </w:r>
      <w:r>
        <w:rPr>
          <w:rFonts w:ascii="Arial" w:hAnsi="Arial" w:eastAsia="Arial" w:cs="Arial"/>
        </w:rPr>
      </w:r>
    </w:p>
    <w:p w14:paraId="788A98A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Narrativa: el jugador despierta solo en una nave dañada por un meteorito y debe cruzar 3 salas con programación por bloques para llegar a la cápsula de escape. Cada sala tiene 2 versiones de dificultad (básica: 8-12 años / avanzada: 13-17 años).</w:t>
      </w:r>
      <w:r>
        <w:rPr>
          <w:rFonts w:ascii="Arial" w:hAnsi="Arial" w:eastAsia="Arial" w:cs="Arial"/>
        </w:rPr>
      </w:r>
    </w:p>
    <w:p w14:paraId="719D8F8A">
      <w:pPr>
        <w:pStyle w:val="141"/>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8"/>
        </w:rPr>
        <w:t xml:space="preserve">LOS 3 RETOS Y SUS DECISIONES DE DISEÑO</w:t>
      </w:r>
      <w:r>
        <w:rPr>
          <w:rFonts w:ascii="Arial" w:hAnsi="Arial" w:eastAsia="Arial" w:cs="Arial"/>
        </w:rPr>
      </w:r>
    </w:p>
    <w:p w14:paraId="67EB42D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1 — Secuenciación.</w:t>
      </w:r>
      <w:r>
        <w:rPr>
          <w:rFonts w:ascii="Arial" w:hAnsi="Arial" w:eastAsia="Arial" w:cs="Arial"/>
          <w:color w:val="000000"/>
          <w:sz w:val="24"/>
        </w:rPr>
        <w:t xml:space="preserve"> Jugador atrapado en dormitorio, ve la tarjeta de acceso a través de una ventana en otra sala. Da instrucciones a un robot (uemy-26) para: encender, caminar a mesa, agarrar tarjeta, caminar a puerta, abrir puerta, apagar. Grupo 8-12: instrucciones macro ("</w:t>
      </w:r>
      <w:r>
        <w:rPr>
          <w:rFonts w:ascii="Arial" w:hAnsi="Arial" w:eastAsia="Arial" w:cs="Arial"/>
          <w:color w:val="000000"/>
          <w:sz w:val="24"/>
        </w:rPr>
        <w:t xml:space="preserve">ve a la mesa", "ve a la puerta"). Grupo 13-17: mismo escenario pero resuelto sobre un grid con movimientos atómicos (arriba/abajo/izquierda/derecha) y obstáculos — exige perspective-shifting (pensar desde la perspectiva del robot, no la propia).</w:t>
      </w:r>
      <w:r>
        <w:rPr>
          <w:rFonts w:ascii="Arial" w:hAnsi="Arial" w:eastAsia="Arial" w:cs="Arial"/>
        </w:rPr>
      </w:r>
    </w:p>
    <w:p w14:paraId="6662E1E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2 — Condicionales.</w:t>
      </w:r>
      <w:r>
        <w:rPr>
          <w:rFonts w:ascii="Arial" w:hAnsi="Arial" w:eastAsia="Arial" w:cs="Arial"/>
          <w:color w:val="000000"/>
          <w:sz w:val="24"/>
        </w:rPr>
        <w:t xml:space="preserve"> Sala de sistemas de la nave (motores, generadores, suministros). El jugador inserta </w:t>
      </w:r>
      <w:r>
        <w:rPr>
          <w:rFonts w:ascii="Arial" w:hAnsi="Arial" w:eastAsia="Arial" w:cs="Arial"/>
          <w:b/>
          <w:color w:val="000000"/>
          <w:sz w:val="24"/>
        </w:rPr>
        <w:t xml:space="preserve">chips físicos insertables</w:t>
      </w:r>
      <w:r>
        <w:rPr>
          <w:rFonts w:ascii="Arial" w:hAnsi="Arial" w:eastAsia="Arial" w:cs="Arial"/>
          <w:color w:val="000000"/>
          <w:sz w:val="24"/>
        </w:rPr>
        <w:t xml:space="preserve"> en paneles con la estructura </w:t>
      </w:r>
      <w:r>
        <w:rPr>
          <w:rFonts w:ascii="Arial" w:hAnsi="Arial" w:eastAsia="Arial" w:cs="Arial"/>
          <w:color w:val="000000"/>
          <w:sz w:val="20"/>
        </w:rPr>
        <w:t xml:space="preserve">SI [símbolo temperatura] → [símbolo acción]</w:t>
      </w:r>
      <w:r>
        <w:rPr>
          <w:rFonts w:ascii="Arial" w:hAnsi="Arial" w:eastAsia="Arial" w:cs="Arial"/>
          <w:color w:val="000000"/>
          <w:sz w:val="24"/>
        </w:rPr>
        <w:t xml:space="preserve">. Decisión pedagógica clave: el primer panel muestra el ejemplo completo y correcto; los paneles siguientes muestran la estructura incompleta, forzando al niño a completar el símbolo correcto por eliminación/lógica (si insertó "enfriar" para temperatura fr</w:t>
      </w:r>
      <w:r>
        <w:rPr>
          <w:rFonts w:ascii="Arial" w:hAnsi="Arial" w:eastAsia="Arial" w:cs="Arial"/>
          <w:color w:val="000000"/>
          <w:sz w:val="24"/>
        </w:rPr>
        <w:t xml:space="preserve">ía y no funciona, infiere que necesita "calentar"). Esto se repite de 3 a 6 veces según dificultad (fácil: 3 paneles con temperatura fija; difícil: 6 paneles, algunos bidireccionales tipo if/else-if, con temperatura fluctuante).</w:t>
      </w:r>
      <w:r>
        <w:rPr>
          <w:rFonts w:ascii="Arial" w:hAnsi="Arial" w:eastAsia="Arial" w:cs="Arial"/>
        </w:rPr>
      </w:r>
    </w:p>
    <w:p w14:paraId="15AAF92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3 — Bucles.</w:t>
      </w:r>
      <w:r>
        <w:rPr>
          <w:rFonts w:ascii="Arial" w:hAnsi="Arial" w:eastAsia="Arial" w:cs="Arial"/>
          <w:color w:val="000000"/>
          <w:sz w:val="24"/>
        </w:rPr>
        <w:t xml:space="preserve"> Almacén con barriles/cajas caídos bloqueando el paso. El jugador programa un brazo robótico para repetir un ciclo "Recoger, Girar, Soltar, Girar" N veces, envolviendo el bloque compuesto dentro de un bloque </w:t>
      </w:r>
      <w:r>
        <w:rPr>
          <w:rFonts w:ascii="Arial" w:hAnsi="Arial" w:eastAsia="Arial" w:cs="Arial"/>
          <w:color w:val="000000"/>
          <w:sz w:val="20"/>
        </w:rPr>
        <w:t xml:space="preserve">Repetir</w:t>
      </w:r>
      <w:r>
        <w:rPr>
          <w:rFonts w:ascii="Arial" w:hAnsi="Arial" w:eastAsia="Arial" w:cs="Arial"/>
          <w:color w:val="000000"/>
          <w:sz w:val="24"/>
        </w:rPr>
        <w:t xml:space="preserve">. La escasez de bloques en el inventario fuerza el uso de </w:t>
      </w:r>
      <w:r>
        <w:rPr>
          <w:rFonts w:ascii="Arial" w:hAnsi="Arial" w:eastAsia="Arial" w:cs="Arial"/>
          <w:color w:val="000000"/>
          <w:sz w:val="20"/>
        </w:rPr>
        <w:t xml:space="preserve">Repetir</w:t>
      </w:r>
      <w:r>
        <w:rPr>
          <w:rFonts w:ascii="Arial" w:hAnsi="Arial" w:eastAsia="Arial" w:cs="Arial"/>
          <w:color w:val="000000"/>
          <w:sz w:val="24"/>
        </w:rPr>
        <w:t xml:space="preserve"> (no alcanzan bloques sueltos para hacerlo manualmente). Versión difícil potencial (aún no confirmada, depende de pruebas con beta testers): añadir condicionales </w:t>
      </w:r>
      <w:r>
        <w:rPr>
          <w:rFonts w:ascii="Arial" w:hAnsi="Arial" w:eastAsia="Arial" w:cs="Arial"/>
          <w:color w:val="000000"/>
          <w:sz w:val="20"/>
        </w:rPr>
        <w:t xml:space="preserve">SI barril→combustible / SI caja→alimento</w:t>
      </w:r>
      <w:r>
        <w:rPr>
          <w:rFonts w:ascii="Arial" w:hAnsi="Arial" w:eastAsia="Arial" w:cs="Arial"/>
          <w:color w:val="000000"/>
          <w:sz w:val="24"/>
        </w:rPr>
        <w:t xml:space="preserve">, reutilizando el mismo </w:t>
      </w:r>
      <w:r>
        <w:rPr>
          <w:rFonts w:ascii="Arial" w:hAnsi="Arial" w:eastAsia="Arial" w:cs="Arial"/>
          <w:color w:val="000000"/>
          <w:sz w:val="20"/>
        </w:rPr>
        <w:t xml:space="preserve">ConditionBlock</w:t>
      </w:r>
      <w:r>
        <w:rPr>
          <w:rFonts w:ascii="Arial" w:hAnsi="Arial" w:eastAsia="Arial" w:cs="Arial"/>
          <w:color w:val="000000"/>
          <w:sz w:val="24"/>
        </w:rPr>
        <w:t xml:space="preserve"> del Reto 2.</w:t>
      </w:r>
      <w:r>
        <w:rPr>
          <w:rFonts w:ascii="Arial" w:hAnsi="Arial" w:eastAsia="Arial" w:cs="Arial"/>
        </w:rPr>
      </w:r>
    </w:p>
    <w:p w14:paraId="6DB3893C">
      <w:pPr>
        <w:pStyle w:val="141"/>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8"/>
        </w:rPr>
        <w:t xml:space="preserve">LO QUE YA ESTÁ RESPALDADO (de conversaciones previas, antes de tener los PDFs completos)</w:t>
      </w:r>
      <w:r>
        <w:rPr>
          <w:rFonts w:ascii="Arial" w:hAnsi="Arial" w:eastAsia="Arial" w:cs="Arial"/>
        </w:rPr>
      </w:r>
    </w:p>
    <w:p w14:paraId="7B954F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1:</w:t>
      </w:r>
      <w:r>
        <w:rPr>
          <w:rFonts w:ascii="Arial" w:hAnsi="Arial" w:eastAsia="Arial" w:cs="Arial"/>
          <w:color w:val="000000"/>
          <w:sz w:val="24"/>
        </w:rPr>
        <w:t xml:space="preserve"> el estudio de Matthews et al. (aunque es de niños 3-5 años, no tu rango) reportó que "planear/comunicar un procedimiento" empieza a desarrollarse a los 4-5 años, mientras que el perspective-shifting seguía sin lograrse a esa edad incluso con apoyo 1 a 1 —</w:t>
      </w:r>
      <w:r>
        <w:rPr>
          <w:rFonts w:ascii="Arial" w:hAnsi="Arial" w:eastAsia="Arial" w:cs="Arial"/>
          <w:color w:val="000000"/>
          <w:sz w:val="24"/>
        </w:rPr>
        <w:t xml:space="preserve"> esto respalda separar el grid manual (exige perspective-shifting) para el grupo mayor y dejar instrucciones macro para el grupo menor.</w:t>
      </w:r>
      <w:r>
        <w:rPr>
          <w:rFonts w:ascii="Arial" w:hAnsi="Arial" w:eastAsia="Arial" w:cs="Arial"/>
        </w:rPr>
      </w:r>
    </w:p>
    <w:p w14:paraId="2C208A7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2:</w:t>
      </w:r>
      <w:r>
        <w:rPr>
          <w:rFonts w:ascii="Arial" w:hAnsi="Arial" w:eastAsia="Arial" w:cs="Arial"/>
        </w:rPr>
      </w:r>
    </w:p>
    <w:p w14:paraId="5FFC5B1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Técnica de </w:t>
      </w:r>
      <w:r>
        <w:rPr>
          <w:rFonts w:ascii="Arial" w:hAnsi="Arial" w:eastAsia="Arial" w:cs="Arial"/>
          <w:b/>
          <w:color w:val="000000"/>
          <w:sz w:val="24"/>
        </w:rPr>
        <w:t xml:space="preserve">fading worked examples</w:t>
      </w:r>
      <w:r>
        <w:rPr>
          <w:rFonts w:ascii="Arial" w:hAnsi="Arial" w:eastAsia="Arial" w:cs="Arial"/>
          <w:color w:val="000000"/>
          <w:sz w:val="24"/>
        </w:rPr>
        <w:t xml:space="preserve"> (Renkl, Atkinson &amp; Maier): mostrar un ejemplo completo, luego ejemplos progresivamente incompletos que el estudiante completa, mejora el aprendizaje frente al método tradicional de pares ejemplo-problema.</w:t>
      </w:r>
      <w:r>
        <w:rPr>
          <w:rFonts w:ascii="Arial" w:hAnsi="Arial" w:eastAsia="Arial" w:cs="Arial"/>
        </w:rPr>
      </w:r>
    </w:p>
    <w:p w14:paraId="624078F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El mecanismo confirmado por análisis de mediación en el paper: el efecto funciona porque </w:t>
      </w:r>
      <w:r>
        <w:rPr>
          <w:rFonts w:ascii="Arial" w:hAnsi="Arial" w:eastAsia="Arial" w:cs="Arial"/>
          <w:b/>
          <w:color w:val="000000"/>
          <w:sz w:val="24"/>
        </w:rPr>
        <w:t xml:space="preserve">reduce errores durante el aprendizaje</w:t>
      </w:r>
      <w:r>
        <w:rPr>
          <w:rFonts w:ascii="Arial" w:hAnsi="Arial" w:eastAsia="Arial" w:cs="Arial"/>
          <w:color w:val="000000"/>
          <w:sz w:val="24"/>
        </w:rPr>
        <w:t xml:space="preserve">, no por fomentar autoexplicación.</w:t>
      </w:r>
      <w:r>
        <w:rPr>
          <w:rFonts w:ascii="Arial" w:hAnsi="Arial" w:eastAsia="Arial" w:cs="Arial"/>
        </w:rPr>
      </w:r>
    </w:p>
    <w:p w14:paraId="5CC3E5F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Limitación importante: el efecto fue significativo para </w:t>
      </w:r>
      <w:r>
        <w:rPr>
          <w:rFonts w:ascii="Arial" w:hAnsi="Arial" w:eastAsia="Arial" w:cs="Arial"/>
          <w:b/>
          <w:color w:val="000000"/>
          <w:sz w:val="24"/>
        </w:rPr>
        <w:t xml:space="preserve">near transfer</w:t>
      </w:r>
      <w:r>
        <w:rPr>
          <w:rFonts w:ascii="Arial" w:hAnsi="Arial" w:eastAsia="Arial" w:cs="Arial"/>
          <w:color w:val="000000"/>
          <w:sz w:val="24"/>
        </w:rPr>
        <w:t xml:space="preserve"> (resolver problemas de la misma estructura en contexto distinto — tu caso: mismo patrón condicional aplicado a paneles distintos) pero </w:t>
      </w:r>
      <w:r>
        <w:rPr>
          <w:rFonts w:ascii="Arial" w:hAnsi="Arial" w:eastAsia="Arial" w:cs="Arial"/>
          <w:b/>
          <w:color w:val="000000"/>
          <w:sz w:val="24"/>
        </w:rPr>
        <w:t xml:space="preserve">no significativo para far transfer</w:t>
      </w:r>
      <w:r>
        <w:rPr>
          <w:rFonts w:ascii="Arial" w:hAnsi="Arial" w:eastAsia="Arial" w:cs="Arial"/>
          <w:color w:val="000000"/>
          <w:sz w:val="24"/>
        </w:rPr>
        <w:t xml:space="preserve"> (generalizar a estructuras distintas). Para tu propósito esto es favorable, ya que buscas que resuelva variaciones del mismo patrón, no que generalice fuera del juego.</w:t>
      </w:r>
      <w:r>
        <w:rPr>
          <w:rFonts w:ascii="Arial" w:hAnsi="Arial" w:eastAsia="Arial" w:cs="Arial"/>
        </w:rPr>
      </w:r>
    </w:p>
    <w:p w14:paraId="579D8AD2">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Réplica en dos experimentos distintos (campo con escolares de física, laboratorio con universitarios en probabilidad) con dos variantes del método (fading hacia atrás y hacia adelante) — da robustez al hallazgo.</w:t>
      </w:r>
      <w:r>
        <w:rPr>
          <w:rFonts w:ascii="Arial" w:hAnsi="Arial" w:eastAsia="Arial" w:cs="Arial"/>
        </w:rPr>
      </w:r>
    </w:p>
    <w:p w14:paraId="38578C6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Tangible programming: literatura de Matthews et al. y otras fuentes de búsqueda web (Embeddables, Codie Blocks, TangibleK) respalda que interfaces físicas/tangibles facilitan la comprensión de condicionales en edades tempranas mejor que interfaces abstract</w:t>
      </w:r>
      <w:r>
        <w:rPr>
          <w:rFonts w:ascii="Arial" w:hAnsi="Arial" w:eastAsia="Arial" w:cs="Arial"/>
          <w:color w:val="000000"/>
          <w:sz w:val="24"/>
        </w:rPr>
        <w:t xml:space="preserve">as en pantalla.</w:t>
      </w:r>
      <w:r>
        <w:rPr>
          <w:rFonts w:ascii="Arial" w:hAnsi="Arial" w:eastAsia="Arial" w:cs="Arial"/>
        </w:rPr>
      </w:r>
    </w:p>
    <w:p w14:paraId="5C08316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Reto 3:</w:t>
      </w:r>
      <w:r>
        <w:rPr>
          <w:rFonts w:ascii="Arial" w:hAnsi="Arial" w:eastAsia="Arial" w:cs="Arial"/>
          <w:color w:val="000000"/>
          <w:sz w:val="24"/>
        </w:rPr>
        <w:t xml:space="preserve"> respaldo débil. Solo hay una mención tangencial en Matthews et al. sobre reconocimiento de patrones/loops de código con Bee-Bots como habilidad "en desarrollo" a los 4-5 años con apoyo — no aplica directamente a tu mecánica de brazo robótico ni a la escas</w:t>
      </w:r>
      <w:r>
        <w:rPr>
          <w:rFonts w:ascii="Arial" w:hAnsi="Arial" w:eastAsia="Arial" w:cs="Arial"/>
          <w:color w:val="000000"/>
          <w:sz w:val="24"/>
        </w:rPr>
        <w:t xml:space="preserve">ez forzada de bloques.</w:t>
      </w:r>
      <w:r>
        <w:rPr>
          <w:rFonts w:ascii="Arial" w:hAnsi="Arial" w:eastAsia="Arial" w:cs="Arial"/>
        </w:rPr>
      </w:r>
    </w:p>
    <w:p w14:paraId="37AF29A7">
      <w:pPr>
        <w:pStyle w:val="141"/>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8"/>
        </w:rPr>
        <w:t xml:space="preserve">LO QUE PIDO A LA OTRA IA (contexto de la pregunta que vas a hacer)</w:t>
      </w:r>
      <w:r>
        <w:rPr>
          <w:rFonts w:ascii="Arial" w:hAnsi="Arial" w:eastAsia="Arial" w:cs="Arial"/>
        </w:rPr>
      </w:r>
    </w:p>
    <w:p w14:paraId="7EDCA12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Tengo dos PDFs:</w:t>
      </w:r>
      <w:r>
        <w:rPr>
          <w:rFonts w:ascii="Arial" w:hAnsi="Arial" w:eastAsia="Arial" w:cs="Arial"/>
        </w:rPr>
      </w:r>
    </w:p>
    <w:p w14:paraId="65A61059">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color w:val="000000"/>
          <w:sz w:val="24"/>
        </w:rPr>
        <w:t xml:space="preserve">Matthews, Nicholas, Paatsch, Kervin &amp; Wyeth (2025)</w:t>
      </w:r>
      <w:r>
        <w:rPr>
          <w:rFonts w:ascii="Arial" w:hAnsi="Arial" w:eastAsia="Arial" w:cs="Arial"/>
          <w:color w:val="000000"/>
          <w:sz w:val="24"/>
        </w:rPr>
        <w:t xml:space="preserve"> — "Social and curious: Lessons in designing digital manipulatives for young children", </w:t>
      </w:r>
      <w:r>
        <w:rPr>
          <w:rFonts w:ascii="Arial" w:hAnsi="Arial" w:eastAsia="Arial" w:cs="Arial"/>
          <w:i/>
          <w:color w:val="000000"/>
          <w:sz w:val="24"/>
        </w:rPr>
        <w:t xml:space="preserve">International Journal of Child-Computer Interaction</w:t>
      </w:r>
      <w:r>
        <w:rPr>
          <w:rFonts w:ascii="Arial" w:hAnsi="Arial" w:eastAsia="Arial" w:cs="Arial"/>
          <w:color w:val="000000"/>
          <w:sz w:val="24"/>
        </w:rPr>
        <w:t xml:space="preserve">. Estudio con niños de 3-5 años en preescolar australiano, usando "Embeddables" (peluches con microcontroladores). Identifica 4 features de diseño: designed-in behaviour, distributed interactivity, conditional/proximal relations entre artefactos, y reaccio</w:t>
      </w:r>
      <w:r>
        <w:rPr>
          <w:rFonts w:ascii="Arial" w:hAnsi="Arial" w:eastAsia="Arial" w:cs="Arial"/>
          <w:color w:val="000000"/>
          <w:sz w:val="24"/>
        </w:rPr>
        <w:t xml:space="preserve">nes multisensoriales abstraídas. Incluye Tabla 1 (comparación de qué CT skills logran niños de 3-4 vs 4-5 años con distintos juguetes digitales) y Tabla 2 (comportamientos de juego observados).</w:t>
      </w:r>
      <w:r>
        <w:rPr>
          <w:rFonts w:ascii="Arial" w:hAnsi="Arial" w:eastAsia="Arial" w:cs="Arial"/>
        </w:rPr>
      </w:r>
    </w:p>
    <w:p w14:paraId="40AFD434">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color w:val="000000"/>
          <w:sz w:val="24"/>
        </w:rPr>
        <w:t xml:space="preserve">Renkl, Atkinson &amp; Maier</w:t>
      </w:r>
      <w:r>
        <w:rPr>
          <w:rFonts w:ascii="Arial" w:hAnsi="Arial" w:eastAsia="Arial" w:cs="Arial"/>
          <w:color w:val="000000"/>
          <w:sz w:val="24"/>
        </w:rPr>
        <w:t xml:space="preserve"> — "From Studying Examples to Solving Problems: Fading Worked-Out Solution Steps Helps Learning". Dos experimentos (campo y laboratorio) sobre la técnica de fading worked examples, con resultados estadísticos completos (tablas de medias, ANCOVAs, mediación</w:t>
      </w:r>
      <w:r>
        <w:rPr>
          <w:rFonts w:ascii="Arial" w:hAnsi="Arial" w:eastAsia="Arial" w:cs="Arial"/>
          <w:color w:val="000000"/>
          <w:sz w:val="24"/>
        </w:rPr>
        <w:t xml:space="preserve">).</w:t>
      </w:r>
      <w:r>
        <w:rPr>
          <w:rFonts w:ascii="Arial" w:hAnsi="Arial" w:eastAsia="Arial" w:cs="Arial"/>
        </w:rPr>
      </w:r>
    </w:p>
    <w:p w14:paraId="2AD514A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b/>
          <w:color w:val="000000"/>
          <w:sz w:val="24"/>
        </w:rPr>
        <w:t xml:space="preserve">Advertencia importante a tener en cuenta:</w:t>
      </w:r>
      <w:r>
        <w:rPr>
          <w:rFonts w:ascii="Arial" w:hAnsi="Arial" w:eastAsia="Arial" w:cs="Arial"/>
          <w:color w:val="000000"/>
          <w:sz w:val="24"/>
        </w:rPr>
        <w:t xml:space="preserve"> el paper de Matthews et al. trabaja con niños de 3-5 años, muy por debajo de mi rango objetivo (8-17). Los principios de diseño de interacción generalizan razonablemente, pero las conclusiones puntuales sobre qué logra un niño a cierta edad NO aplican dir</w:t>
      </w:r>
      <w:r>
        <w:rPr>
          <w:rFonts w:ascii="Arial" w:hAnsi="Arial" w:eastAsia="Arial" w:cs="Arial"/>
          <w:color w:val="000000"/>
          <w:sz w:val="24"/>
        </w:rPr>
        <w:t xml:space="preserve">ectamente a mi población, que ya superó esos hitos de desarrollo. Cualquier respaldo que se derive de ese paper debe presentarse como respaldo de principios de diseño tangible, no como evidencia de limitaciones cognitivas de mi público real.</w:t>
      </w:r>
      <w:r>
        <w:rPr>
          <w:rFonts w:ascii="Arial" w:hAnsi="Arial" w:eastAsia="Arial" w:cs="Arial"/>
        </w:rPr>
      </w:r>
    </w:p>
    <w:p w14:paraId="65742B1E">
      <w:pPr>
        <w:pBdr/>
        <w:shd w:val="nil"/>
        <w:spacing/>
        <w:ind/>
        <w:jc w:val="both"/>
        <w:rPr>
          <w:rFonts w:ascii="Arial" w:hAnsi="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209C10DE">
      <w:pPr>
        <w:pStyle w:val="159"/>
        <w:pBdr>
          <w:top w:val="none" w:color="000000" w:sz="4" w:space="0"/>
          <w:left w:val="none" w:color="000000" w:sz="4" w:space="0"/>
          <w:bottom w:val="none" w:color="000000" w:sz="4" w:space="0"/>
          <w:right w:val="none" w:color="000000" w:sz="4" w:space="0"/>
        </w:pBdr>
        <w:spacing w:line="360" w:lineRule="auto"/>
        <w:ind/>
        <w:jc w:val="center"/>
        <w:rPr>
          <w:rFonts w:ascii="Arial" w:hAnsi="Arial" w:eastAsia="Arial" w:cs="Arial"/>
          <w:b/>
          <w:bCs/>
          <w:color w:val="000000"/>
          <w:sz w:val="40"/>
          <w:szCs w:val="40"/>
          <w:lang w:val="es-EC"/>
          <w14:ligatures w14:val="none"/>
        </w:rPr>
      </w:pPr>
      <w:r>
        <w:rPr>
          <w:rFonts w:ascii="Arial" w:hAnsi="Arial" w:eastAsia="Arial" w:cs="Arial"/>
          <w:b/>
          <w:bCs/>
          <w:color w:val="000000"/>
          <w:sz w:val="40"/>
          <w:szCs w:val="40"/>
          <w:lang w:val="es-EC"/>
        </w:rPr>
        <w:t xml:space="preserve">PAPERS</w:t>
      </w:r>
      <w:r>
        <w:rPr>
          <w:rFonts w:ascii="Arial" w:hAnsi="Arial" w:eastAsia="Arial" w:cs="Arial"/>
          <w:b/>
          <w:bCs/>
          <w:color w:val="000000"/>
          <w:sz w:val="40"/>
          <w:szCs w:val="40"/>
          <w:lang w:val="es-EC"/>
        </w:rPr>
      </w:r>
    </w:p>
    <w:p w14:paraId="55BB0A2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b/>
          <w:color w:val="1f1f1f"/>
          <w:sz w:val="36"/>
        </w:rPr>
        <w:t xml:space="preserve">1. Renkl et al. (2002) — </w:t>
      </w:r>
      <w:r>
        <w:rPr>
          <w:rFonts w:ascii="Arial" w:hAnsi="Arial" w:eastAsia="Arial" w:cs="Arial"/>
          <w:b/>
          <w:i/>
          <w:color w:val="1f1f1f"/>
          <w:sz w:val="36"/>
        </w:rPr>
        <w:t xml:space="preserve">Fading Worked Examples</w:t>
      </w:r>
      <w:r>
        <w:rPr>
          <w:rFonts w:ascii="Arial" w:hAnsi="Arial" w:eastAsia="Arial" w:cs="Arial"/>
        </w:rPr>
      </w:r>
    </w:p>
    <w:p w14:paraId="348C4483">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Sección del documento donde usarlo:</w:t>
      </w:r>
      <w:r>
        <w:rPr>
          <w:rFonts w:ascii="Arial" w:hAnsi="Arial" w:eastAsia="Arial" w:cs="Arial"/>
          <w:color w:val="1f1f1f"/>
          <w:sz w:val="24"/>
        </w:rPr>
        <w:t xml:space="preserve"> </w:t>
      </w:r>
      <w:r>
        <w:rPr>
          <w:rFonts w:ascii="Arial" w:hAnsi="Arial" w:eastAsia="Arial" w:cs="Arial"/>
          <w:i/>
          <w:color w:val="1f1f1f"/>
          <w:sz w:val="24"/>
        </w:rPr>
        <w:t xml:space="preserve">Marco Teórico / Estrategia Pedagógica / Diseño de Tutoriales y Progresión.</w:t>
      </w:r>
      <w:r>
        <w:rPr>
          <w:rFonts w:ascii="Arial" w:hAnsi="Arial" w:eastAsia="Arial" w:cs="Arial"/>
        </w:rPr>
      </w:r>
    </w:p>
    <w:p w14:paraId="62A9457F">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Teórico:</w:t>
      </w:r>
      <w:r>
        <w:rPr>
          <w:rFonts w:ascii="Arial" w:hAnsi="Arial" w:eastAsia="Arial" w:cs="Arial"/>
        </w:rPr>
      </w:r>
    </w:p>
    <w:p w14:paraId="0AC98303">
      <w:pPr>
        <w:pStyle w:val="668"/>
        <w:numPr>
          <w:ilvl w:val="1"/>
          <w:numId w:val="4"/>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Justificación de la curva de aprendizaje:</w:t>
      </w:r>
      <w:r>
        <w:rPr>
          <w:rFonts w:ascii="Arial" w:hAnsi="Arial" w:eastAsia="Arial" w:cs="Arial"/>
          <w:color w:val="1f1f1f"/>
          <w:sz w:val="24"/>
        </w:rPr>
        <w:t xml:space="preserve"> Argumenta por qué pasar directamente a la resolución libre de problemas causa sobrecarga en la memoria de trabajo. Demuestra que mostrar un ejemplo resuelto y luego retirar partes gradualmente (</w:t>
      </w:r>
      <w:r>
        <w:rPr>
          <w:rFonts w:ascii="Arial" w:hAnsi="Arial" w:eastAsia="Arial" w:cs="Arial"/>
          <w:i/>
          <w:color w:val="1f1f1f"/>
          <w:sz w:val="24"/>
        </w:rPr>
        <w:t xml:space="preserve">fading</w:t>
      </w:r>
      <w:r>
        <w:rPr>
          <w:rFonts w:ascii="Arial" w:hAnsi="Arial" w:eastAsia="Arial" w:cs="Arial"/>
          <w:color w:val="1f1f1f"/>
          <w:sz w:val="24"/>
        </w:rPr>
        <w:t xml:space="preserve">) acelera la adquisición de esquemas de conocimiento. </w:t>
      </w:r>
      <w:r>
        <w:rPr>
          <w:rFonts w:ascii="Arial" w:hAnsi="Arial" w:eastAsia="Arial" w:cs="Arial"/>
        </w:rPr>
      </w:r>
    </w:p>
    <w:p w14:paraId="074529C5">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en Software/VR:</w:t>
      </w:r>
      <w:r>
        <w:rPr>
          <w:rFonts w:ascii="Arial" w:hAnsi="Arial" w:eastAsia="Arial" w:cs="Arial"/>
        </w:rPr>
      </w:r>
    </w:p>
    <w:p w14:paraId="705E5A30">
      <w:pPr>
        <w:pStyle w:val="668"/>
        <w:numPr>
          <w:ilvl w:val="1"/>
          <w:numId w:val="5"/>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Estructura de la interfaz:</w:t>
      </w:r>
      <w:r>
        <w:rPr>
          <w:rFonts w:ascii="Arial" w:hAnsi="Arial" w:eastAsia="Arial" w:cs="Arial"/>
          <w:color w:val="1f1f1f"/>
          <w:sz w:val="24"/>
        </w:rPr>
        <w:t xml:space="preserve"> Define el pipeline de interacción (Nivel 1: El sistema muestra el 100% de la solución → Nivel 2: El usuario completa un 25% → Nivel 3: El usuario completa el 100%).</w:t>
      </w:r>
      <w:r>
        <w:rPr>
          <w:rFonts w:ascii="Arial" w:hAnsi="Arial" w:eastAsia="Arial" w:cs="Arial"/>
        </w:rPr>
      </w:r>
    </w:p>
    <w:p w14:paraId="3FD06693">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Métricas para Evaluación:</w:t>
      </w:r>
      <w:r>
        <w:rPr>
          <w:rFonts w:ascii="Arial" w:hAnsi="Arial" w:eastAsia="Arial" w:cs="Arial"/>
        </w:rPr>
      </w:r>
    </w:p>
    <w:p w14:paraId="73469B95">
      <w:pPr>
        <w:pStyle w:val="668"/>
        <w:numPr>
          <w:ilvl w:val="1"/>
          <w:numId w:val="6"/>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Tasa de error y tiempo de resolución:</w:t>
      </w:r>
      <w:r>
        <w:rPr>
          <w:rFonts w:ascii="Arial" w:hAnsi="Arial" w:eastAsia="Arial" w:cs="Arial"/>
          <w:color w:val="1f1f1f"/>
          <w:sz w:val="24"/>
        </w:rPr>
        <w:t xml:space="preserve"> Permite fundamentar que las pruebas de </w:t>
      </w:r>
      <w:r>
        <w:rPr>
          <w:rFonts w:ascii="Arial" w:hAnsi="Arial" w:eastAsia="Arial" w:cs="Arial"/>
          <w:i/>
          <w:color w:val="1f1f1f"/>
          <w:sz w:val="24"/>
        </w:rPr>
        <w:t xml:space="preserve">Near Transfer</w:t>
      </w:r>
      <w:r>
        <w:rPr>
          <w:rFonts w:ascii="Arial" w:hAnsi="Arial" w:eastAsia="Arial" w:cs="Arial"/>
          <w:color w:val="1f1f1f"/>
          <w:sz w:val="24"/>
        </w:rPr>
        <w:t xml:space="preserve"> (transferencia cercana) deben evaluar si el usuario aplica la estructura lógica cuando cambia el contexto visual sin aumentar el número de errores. </w:t>
      </w:r>
      <w:r>
        <w:rPr>
          <w:rFonts w:ascii="Arial" w:hAnsi="Arial" w:eastAsia="Arial" w:cs="Arial"/>
        </w:rPr>
      </w:r>
    </w:p>
    <w:p w14:paraId="2AC3C22E">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b/>
          <w:color w:val="1f1f1f"/>
          <w:sz w:val="36"/>
        </w:rPr>
        <w:t xml:space="preserve">2. Gray et al. (2007) — </w:t>
      </w:r>
      <w:r>
        <w:rPr>
          <w:rFonts w:ascii="Arial" w:hAnsi="Arial" w:eastAsia="Arial" w:cs="Arial"/>
          <w:b/>
          <w:i/>
          <w:color w:val="1f1f1f"/>
          <w:sz w:val="36"/>
        </w:rPr>
        <w:t xml:space="preserve">Cognitive Load &amp; Introductory Programming</w:t>
      </w:r>
      <w:r>
        <w:rPr>
          <w:rFonts w:ascii="Arial" w:hAnsi="Arial" w:eastAsia="Arial" w:cs="Arial"/>
        </w:rPr>
      </w:r>
    </w:p>
    <w:p w14:paraId="71EE282B">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Sección del documento donde usarlo:</w:t>
      </w:r>
      <w:r>
        <w:rPr>
          <w:rFonts w:ascii="Arial" w:hAnsi="Arial" w:eastAsia="Arial" w:cs="Arial"/>
          <w:color w:val="1f1f1f"/>
          <w:sz w:val="24"/>
        </w:rPr>
        <w:t xml:space="preserve"> </w:t>
      </w:r>
      <w:r>
        <w:rPr>
          <w:rFonts w:ascii="Arial" w:hAnsi="Arial" w:eastAsia="Arial" w:cs="Arial"/>
          <w:i/>
          <w:color w:val="1f1f1f"/>
          <w:sz w:val="24"/>
        </w:rPr>
        <w:t xml:space="preserve">Planteamiento del Problema / Diseño de Restricciones / Análisis de Errores.</w:t>
      </w:r>
      <w:r>
        <w:rPr>
          <w:rFonts w:ascii="Arial" w:hAnsi="Arial" w:eastAsia="Arial" w:cs="Arial"/>
        </w:rPr>
      </w:r>
    </w:p>
    <w:p w14:paraId="51CBF615">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Teórico:</w:t>
      </w:r>
      <w:r>
        <w:rPr>
          <w:rFonts w:ascii="Arial" w:hAnsi="Arial" w:eastAsia="Arial" w:cs="Arial"/>
        </w:rPr>
      </w:r>
    </w:p>
    <w:p w14:paraId="0524ED4A">
      <w:pPr>
        <w:pStyle w:val="668"/>
        <w:numPr>
          <w:ilvl w:val="1"/>
          <w:numId w:val="7"/>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Identificación del obstáculo:</w:t>
      </w:r>
      <w:r>
        <w:rPr>
          <w:rFonts w:ascii="Arial" w:hAnsi="Arial" w:eastAsia="Arial" w:cs="Arial"/>
          <w:color w:val="1f1f1f"/>
          <w:sz w:val="24"/>
        </w:rPr>
        <w:t xml:space="preserve"> Explica la causa del fracaso en programadores novatos: gestionar variables de control, sintaxis y lógica en paralelo colapsa la memoria de trabajo. </w:t>
      </w:r>
      <w:r>
        <w:rPr>
          <w:rFonts w:ascii="Arial" w:hAnsi="Arial" w:eastAsia="Arial" w:cs="Arial"/>
        </w:rPr>
      </w:r>
    </w:p>
    <w:p w14:paraId="7306434A">
      <w:pPr>
        <w:pStyle w:val="668"/>
        <w:numPr>
          <w:ilvl w:val="1"/>
          <w:numId w:val="7"/>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Gestión de Carga Cognitiva:</w:t>
      </w:r>
      <w:r>
        <w:rPr>
          <w:rFonts w:ascii="Arial" w:hAnsi="Arial" w:eastAsia="Arial" w:cs="Arial"/>
          <w:color w:val="1f1f1f"/>
          <w:sz w:val="24"/>
        </w:rPr>
        <w:t xml:space="preserve"> Distingue entre la </w:t>
      </w:r>
      <w:r>
        <w:rPr>
          <w:rFonts w:ascii="Arial" w:hAnsi="Arial" w:eastAsia="Arial" w:cs="Arial"/>
          <w:i/>
          <w:color w:val="1f1f1f"/>
          <w:sz w:val="24"/>
        </w:rPr>
        <w:t xml:space="preserve">carga intrínseca</w:t>
      </w:r>
      <w:r>
        <w:rPr>
          <w:rFonts w:ascii="Arial" w:hAnsi="Arial" w:eastAsia="Arial" w:cs="Arial"/>
          <w:color w:val="1f1f1f"/>
          <w:sz w:val="24"/>
        </w:rPr>
        <w:t xml:space="preserve"> (la dificultad propia del bucle o condicional) y la </w:t>
      </w:r>
      <w:r>
        <w:rPr>
          <w:rFonts w:ascii="Arial" w:hAnsi="Arial" w:eastAsia="Arial" w:cs="Arial"/>
          <w:i/>
          <w:color w:val="1f1f1f"/>
          <w:sz w:val="24"/>
        </w:rPr>
        <w:t xml:space="preserve">carga extrínseca</w:t>
      </w:r>
      <w:r>
        <w:rPr>
          <w:rFonts w:ascii="Arial" w:hAnsi="Arial" w:eastAsia="Arial" w:cs="Arial"/>
          <w:color w:val="1f1f1f"/>
          <w:sz w:val="24"/>
        </w:rPr>
        <w:t xml:space="preserve"> (la complejidad de la interfaz de usuario en RV). </w:t>
      </w:r>
      <w:r>
        <w:rPr>
          <w:rFonts w:ascii="Arial" w:hAnsi="Arial" w:eastAsia="Arial" w:cs="Arial"/>
        </w:rPr>
      </w:r>
    </w:p>
    <w:p w14:paraId="77CE8DAF">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en Software/VR:</w:t>
      </w:r>
      <w:r>
        <w:rPr>
          <w:rFonts w:ascii="Arial" w:hAnsi="Arial" w:eastAsia="Arial" w:cs="Arial"/>
        </w:rPr>
      </w:r>
    </w:p>
    <w:p w14:paraId="720429ED">
      <w:pPr>
        <w:pStyle w:val="668"/>
        <w:numPr>
          <w:ilvl w:val="1"/>
          <w:numId w:val="8"/>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Mecánica de Inventario Restringido:</w:t>
      </w:r>
      <w:r>
        <w:rPr>
          <w:rFonts w:ascii="Arial" w:hAnsi="Arial" w:eastAsia="Arial" w:cs="Arial"/>
          <w:color w:val="1f1f1f"/>
          <w:sz w:val="24"/>
        </w:rPr>
        <w:t xml:space="preserve"> Respalda la decisión de </w:t>
      </w:r>
      <w:r>
        <w:rPr>
          <w:rFonts w:ascii="Arial" w:hAnsi="Arial" w:eastAsia="Arial" w:cs="Arial"/>
          <w:b/>
          <w:color w:val="1f1f1f"/>
          <w:sz w:val="24"/>
        </w:rPr>
        <w:t xml:space="preserve">limitar la cantidad de bloques o fichas físicas</w:t>
      </w:r>
      <w:r>
        <w:rPr>
          <w:rFonts w:ascii="Arial" w:hAnsi="Arial" w:eastAsia="Arial" w:cs="Arial"/>
          <w:color w:val="1f1f1f"/>
          <w:sz w:val="24"/>
        </w:rPr>
        <w:t xml:space="preserve">. Al no dar bloques infinitos, desactivas el método ineficiente de "ensayo y error a ciegas" (</w:t>
      </w:r>
      <w:r>
        <w:rPr>
          <w:rFonts w:ascii="Arial" w:hAnsi="Arial" w:eastAsia="Arial" w:cs="Arial"/>
          <w:i/>
          <w:color w:val="1f1f1f"/>
          <w:sz w:val="24"/>
        </w:rPr>
        <w:t xml:space="preserve">means-end analysis</w:t>
      </w:r>
      <w:r>
        <w:rPr>
          <w:rFonts w:ascii="Arial" w:hAnsi="Arial" w:eastAsia="Arial" w:cs="Arial"/>
          <w:color w:val="1f1f1f"/>
          <w:sz w:val="24"/>
        </w:rPr>
        <w:t xml:space="preserve">) y obligas al usuario a usar abstracción (bucles). </w:t>
      </w:r>
      <w:r>
        <w:rPr>
          <w:rFonts w:ascii="Arial" w:hAnsi="Arial" w:eastAsia="Arial" w:cs="Arial"/>
        </w:rPr>
      </w:r>
    </w:p>
    <w:p w14:paraId="05497B39">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Métricas para Evaluación:</w:t>
      </w:r>
      <w:r>
        <w:rPr>
          <w:rFonts w:ascii="Arial" w:hAnsi="Arial" w:eastAsia="Arial" w:cs="Arial"/>
        </w:rPr>
      </w:r>
    </w:p>
    <w:p w14:paraId="3934F7AF">
      <w:pPr>
        <w:pStyle w:val="668"/>
        <w:numPr>
          <w:ilvl w:val="1"/>
          <w:numId w:val="9"/>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Análisis de intentos fallidos:</w:t>
      </w:r>
      <w:r>
        <w:rPr>
          <w:rFonts w:ascii="Arial" w:hAnsi="Arial" w:eastAsia="Arial" w:cs="Arial"/>
          <w:color w:val="1f1f1f"/>
          <w:sz w:val="24"/>
        </w:rPr>
        <w:t xml:space="preserve"> Permite categorizar si los fallos de los usuarios se deben a la interfaz (extranjera/VR) o al pensamiento algorítmico (intrínseco).</w:t>
      </w:r>
      <w:r>
        <w:rPr>
          <w:rFonts w:ascii="Arial" w:hAnsi="Arial" w:eastAsia="Arial" w:cs="Arial"/>
        </w:rPr>
      </w:r>
    </w:p>
    <w:p w14:paraId="4FCFA1A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b/>
          <w:color w:val="1f1f1f"/>
          <w:sz w:val="36"/>
        </w:rPr>
        <w:t xml:space="preserve">3. Bers et al. (2010) / TangibleK — </w:t>
      </w:r>
      <w:r>
        <w:rPr>
          <w:rFonts w:ascii="Arial" w:hAnsi="Arial" w:eastAsia="Arial" w:cs="Arial"/>
          <w:b/>
          <w:i/>
          <w:color w:val="1f1f1f"/>
          <w:sz w:val="36"/>
        </w:rPr>
        <w:t xml:space="preserve">Tangible Programming &amp; Digital Manipulatives</w:t>
      </w:r>
      <w:r>
        <w:rPr>
          <w:rFonts w:ascii="Arial" w:hAnsi="Arial" w:eastAsia="Arial" w:cs="Arial"/>
        </w:rPr>
      </w:r>
    </w:p>
    <w:p w14:paraId="7C7A222A">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Sección del documento donde usarlo:</w:t>
      </w:r>
      <w:r>
        <w:rPr>
          <w:rFonts w:ascii="Arial" w:hAnsi="Arial" w:eastAsia="Arial" w:cs="Arial"/>
          <w:color w:val="1f1f1f"/>
          <w:sz w:val="24"/>
        </w:rPr>
        <w:t xml:space="preserve"> </w:t>
      </w:r>
      <w:r>
        <w:rPr>
          <w:rFonts w:ascii="Arial" w:hAnsi="Arial" w:eastAsia="Arial" w:cs="Arial"/>
          <w:i/>
          <w:color w:val="1f1f1f"/>
          <w:sz w:val="24"/>
        </w:rPr>
        <w:t xml:space="preserve">Diseño de Interacción (VR/UX) / Tangibilidad y Metáforas Espaciales.</w:t>
      </w:r>
      <w:r>
        <w:rPr>
          <w:rFonts w:ascii="Arial" w:hAnsi="Arial" w:eastAsia="Arial" w:cs="Arial"/>
        </w:rPr>
      </w:r>
    </w:p>
    <w:p w14:paraId="2E34EB3B">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Teórico:</w:t>
      </w:r>
      <w:r>
        <w:rPr>
          <w:rFonts w:ascii="Arial" w:hAnsi="Arial" w:eastAsia="Arial" w:cs="Arial"/>
        </w:rPr>
      </w:r>
    </w:p>
    <w:p w14:paraId="622A7C60">
      <w:pPr>
        <w:pStyle w:val="668"/>
        <w:numPr>
          <w:ilvl w:val="1"/>
          <w:numId w:val="10"/>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Puente Abstracto-Concreto:</w:t>
      </w:r>
      <w:r>
        <w:rPr>
          <w:rFonts w:ascii="Arial" w:hAnsi="Arial" w:eastAsia="Arial" w:cs="Arial"/>
          <w:color w:val="1f1f1f"/>
          <w:sz w:val="24"/>
        </w:rPr>
        <w:t xml:space="preserve"> Sustenta el uso de interfaces tangibles para convertir conceptos intangibles (como punteros, variables o iteraciones) en objetos físicos manipulables (</w:t>
      </w:r>
      <w:r>
        <w:rPr>
          <w:rFonts w:ascii="Arial" w:hAnsi="Arial" w:eastAsia="Arial" w:cs="Arial"/>
          <w:i/>
          <w:color w:val="1f1f1f"/>
          <w:sz w:val="24"/>
        </w:rPr>
        <w:t xml:space="preserve">digital manipulatives</w:t>
      </w:r>
      <w:r>
        <w:rPr>
          <w:rFonts w:ascii="Arial" w:hAnsi="Arial" w:eastAsia="Arial" w:cs="Arial"/>
          <w:color w:val="1f1f1f"/>
          <w:sz w:val="24"/>
        </w:rPr>
        <w:t xml:space="preserve">). </w:t>
      </w:r>
      <w:r>
        <w:rPr>
          <w:rFonts w:ascii="Arial" w:hAnsi="Arial" w:eastAsia="Arial" w:cs="Arial"/>
        </w:rPr>
      </w:r>
    </w:p>
    <w:p w14:paraId="1224879F">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en Software/VR:</w:t>
      </w:r>
      <w:r>
        <w:rPr>
          <w:rFonts w:ascii="Arial" w:hAnsi="Arial" w:eastAsia="Arial" w:cs="Arial"/>
        </w:rPr>
      </w:r>
    </w:p>
    <w:p w14:paraId="4B93C1CC">
      <w:pPr>
        <w:pStyle w:val="668"/>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Mecánica de encaje y conectores (Sintaxis Física):</w:t>
      </w:r>
      <w:r>
        <w:rPr>
          <w:rFonts w:ascii="Arial" w:hAnsi="Arial" w:eastAsia="Arial" w:cs="Arial"/>
          <w:color w:val="1f1f1f"/>
          <w:sz w:val="24"/>
        </w:rPr>
        <w:t xml:space="preserve"> Justifica el uso de ranuras, chips de colores y conectores físicos dentro de la RV en lugar de menus 2D flotantes o escritura de código en teclado. La forma del objeto actúa como la validación sintáctica del código. </w:t>
      </w:r>
      <w:r>
        <w:rPr>
          <w:rFonts w:ascii="Arial" w:hAnsi="Arial" w:eastAsia="Arial" w:cs="Arial"/>
        </w:rPr>
      </w:r>
    </w:p>
    <w:p w14:paraId="23D5AEC8">
      <w:pPr>
        <w:pStyle w:val="668"/>
        <w:numPr>
          <w:ilvl w:val="1"/>
          <w:numId w:val="11"/>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Ergonomía de Interacción en RV:</w:t>
      </w:r>
      <w:r>
        <w:rPr>
          <w:rFonts w:ascii="Arial" w:hAnsi="Arial" w:eastAsia="Arial" w:cs="Arial"/>
          <w:color w:val="1f1f1f"/>
          <w:sz w:val="24"/>
        </w:rPr>
        <w:t xml:space="preserve"> Fundamenta por qué el "agarrar, encajar y presionar botones reales" aumenta la presencia e intuición dentro del entorno virtual. </w:t>
      </w:r>
      <w:r>
        <w:rPr>
          <w:rFonts w:ascii="Arial" w:hAnsi="Arial" w:eastAsia="Arial" w:cs="Arial"/>
        </w:rPr>
      </w:r>
    </w:p>
    <w:p w14:paraId="3BB57028">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b/>
          <w:color w:val="1f1f1f"/>
          <w:sz w:val="36"/>
        </w:rPr>
        <w:t xml:space="preserve">4. Matthews et al. — </w:t>
      </w:r>
      <w:r>
        <w:rPr>
          <w:rFonts w:ascii="Arial" w:hAnsi="Arial" w:eastAsia="Arial" w:cs="Arial"/>
          <w:b/>
          <w:i/>
          <w:color w:val="1f1f1f"/>
          <w:sz w:val="36"/>
        </w:rPr>
        <w:t xml:space="preserve">Desarrollo Cognitivo y Mapeo Espacial</w:t>
      </w:r>
      <w:r>
        <w:rPr>
          <w:rFonts w:ascii="Arial" w:hAnsi="Arial" w:eastAsia="Arial" w:cs="Arial"/>
        </w:rPr>
      </w:r>
    </w:p>
    <w:p w14:paraId="4EE50EAD">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Sección del documento donde usarlo:</w:t>
      </w:r>
      <w:r>
        <w:rPr>
          <w:rFonts w:ascii="Arial" w:hAnsi="Arial" w:eastAsia="Arial" w:cs="Arial"/>
          <w:color w:val="1f1f1f"/>
          <w:sz w:val="24"/>
        </w:rPr>
        <w:t xml:space="preserve"> </w:t>
      </w:r>
      <w:r>
        <w:rPr>
          <w:rFonts w:ascii="Arial" w:hAnsi="Arial" w:eastAsia="Arial" w:cs="Arial"/>
          <w:i/>
          <w:color w:val="1f1f1f"/>
          <w:sz w:val="24"/>
        </w:rPr>
        <w:t xml:space="preserve">Segmentación de Usuarios / Límites del Estudio / Metodología.</w:t>
      </w:r>
      <w:r>
        <w:rPr>
          <w:rFonts w:ascii="Arial" w:hAnsi="Arial" w:eastAsia="Arial" w:cs="Arial"/>
        </w:rPr>
      </w:r>
    </w:p>
    <w:p w14:paraId="23F086AD">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Teórico:</w:t>
      </w:r>
      <w:r>
        <w:rPr>
          <w:rFonts w:ascii="Arial" w:hAnsi="Arial" w:eastAsia="Arial" w:cs="Arial"/>
        </w:rPr>
      </w:r>
    </w:p>
    <w:p w14:paraId="7BAF182D">
      <w:pPr>
        <w:pStyle w:val="668"/>
        <w:numPr>
          <w:ilvl w:val="1"/>
          <w:numId w:val="12"/>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Hitos de descentración espacial:</w:t>
      </w:r>
      <w:r>
        <w:rPr>
          <w:rFonts w:ascii="Arial" w:hAnsi="Arial" w:eastAsia="Arial" w:cs="Arial"/>
          <w:color w:val="1f1f1f"/>
          <w:sz w:val="24"/>
        </w:rPr>
        <w:t xml:space="preserve"> Identifica en qué etapas del desarrollo los niños pasan del pensamiento egocéntrico al alocéntrico (cambio de perspectiva espacial).</w:t>
      </w:r>
      <w:r>
        <w:rPr>
          <w:rFonts w:ascii="Arial" w:hAnsi="Arial" w:eastAsia="Arial" w:cs="Arial"/>
        </w:rPr>
      </w:r>
    </w:p>
    <w:p w14:paraId="3E4CEFF5">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en Software/VR:</w:t>
      </w:r>
      <w:r>
        <w:rPr>
          <w:rFonts w:ascii="Arial" w:hAnsi="Arial" w:eastAsia="Arial" w:cs="Arial"/>
        </w:rPr>
      </w:r>
    </w:p>
    <w:p w14:paraId="0C554894">
      <w:pPr>
        <w:pStyle w:val="668"/>
        <w:numPr>
          <w:ilvl w:val="1"/>
          <w:numId w:val="1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Justificación de rangos de edad (8–12 vs. 13–17):</w:t>
      </w:r>
      <w:r>
        <w:rPr>
          <w:rFonts w:ascii="Arial" w:hAnsi="Arial" w:eastAsia="Arial" w:cs="Arial"/>
          <w:color w:val="1f1f1f"/>
          <w:sz w:val="24"/>
        </w:rPr>
        <w:t xml:space="preserve"> Ofrece el argumento formal de por qué no se usa la misma complejidad de orientación espacial en todos los rangos. Evita que un evaluador o revisor critique el juego por ser "muy simple" en los niveles iniciales o "muy complejo" para los más jóvenes.</w:t>
      </w:r>
      <w:r>
        <w:rPr>
          <w:rFonts w:ascii="Arial" w:hAnsi="Arial" w:eastAsia="Arial" w:cs="Arial"/>
        </w:rPr>
      </w:r>
    </w:p>
    <w:p w14:paraId="1774757D">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Aprovechamiento Metodológico:</w:t>
      </w:r>
      <w:r>
        <w:rPr>
          <w:rFonts w:ascii="Arial" w:hAnsi="Arial" w:eastAsia="Arial" w:cs="Arial"/>
        </w:rPr>
      </w:r>
    </w:p>
    <w:p w14:paraId="175F244B">
      <w:pPr>
        <w:pStyle w:val="668"/>
        <w:numPr>
          <w:ilvl w:val="1"/>
          <w:numId w:val="14"/>
        </w:numPr>
        <w:pBdr>
          <w:top w:val="none" w:color="000000" w:sz="4" w:space="0"/>
          <w:left w:val="none" w:color="000000" w:sz="4" w:space="0"/>
          <w:bottom w:val="none" w:color="000000" w:sz="4" w:space="0"/>
          <w:right w:val="none" w:color="000000" w:sz="4" w:space="0"/>
        </w:pBdr>
        <w:spacing w:after="0" w:before="0" w:line="276" w:lineRule="auto"/>
        <w:ind w:right="0"/>
        <w:jc w:val="both"/>
        <w:rPr>
          <w:rFonts w:ascii="Arial" w:hAnsi="Arial" w:cs="Arial"/>
        </w:rPr>
      </w:pPr>
      <w:r>
        <w:rPr>
          <w:rFonts w:ascii="Arial" w:hAnsi="Arial" w:eastAsia="Arial" w:cs="Arial"/>
          <w:b/>
          <w:color w:val="1f1f1f"/>
          <w:sz w:val="24"/>
        </w:rPr>
        <w:t xml:space="preserve">Filtro de literatura:</w:t>
      </w:r>
      <w:r>
        <w:rPr>
          <w:rFonts w:ascii="Arial" w:hAnsi="Arial" w:eastAsia="Arial" w:cs="Arial"/>
          <w:color w:val="1f1f1f"/>
          <w:sz w:val="24"/>
        </w:rPr>
        <w:t xml:space="preserve"> Permite marcar un límite claro para no aplicar teorías de educación infantil temprana (3–5 años) a jóvenes en etapa de operaciones concretas o formales (8–17 años).</w:t>
      </w:r>
      <w:r>
        <w:rPr>
          <w:rFonts w:ascii="Arial" w:hAnsi="Arial" w:eastAsia="Arial" w:cs="Arial"/>
        </w:rPr>
      </w:r>
    </w:p>
    <w:p w14:paraId="765933B4">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b/>
          <w:color w:val="1f1f1f"/>
          <w:sz w:val="36"/>
        </w:rPr>
        <w:t xml:space="preserve">📊 Cuadro de Utilidad según el Documento Final</w:t>
      </w:r>
      <w:r>
        <w:rPr>
          <w:rFonts w:ascii="Arial" w:hAnsi="Arial" w:eastAsia="Arial" w:cs="Arial"/>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2"/>
        <w:gridCol w:w="4838"/>
        <w:gridCol w:w="2994"/>
      </w:tblGrid>
      <w:tr>
        <w:trPr/>
        <w:tc>
          <w:tcPr>
            <w:shd w:val="clear" w:color="efefef" w:fill="efefef"/>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522" w:type="dxa"/>
            <w:vAlign w:val="center"/>
          </w:tcPr>
          <w:p w14:paraId="1097F859">
            <w:pPr>
              <w:pBdr/>
              <w:spacing w:after="0" w:before="0" w:line="240"/>
              <w:ind/>
              <w:jc w:val="both"/>
              <w:rPr>
                <w:rFonts w:ascii="Arial" w:hAnsi="Arial" w:cs="Arial"/>
              </w:rPr>
            </w:pPr>
            <w:r>
              <w:rPr>
                <w:rFonts w:ascii="Arial" w:hAnsi="Arial" w:eastAsia="Arial" w:cs="Arial"/>
                <w:b/>
                <w:color w:val="1f1f1f"/>
                <w:sz w:val="24"/>
              </w:rPr>
              <w:t xml:space="preserve">Paper</w:t>
            </w:r>
            <w:r>
              <w:rPr>
                <w:rFonts w:ascii="Arial" w:hAnsi="Arial" w:eastAsia="Arial" w:cs="Arial"/>
              </w:rPr>
            </w:r>
          </w:p>
        </w:tc>
        <w:tc>
          <w:tcPr>
            <w:shd w:val="clear" w:color="efefef" w:fill="efefef"/>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38" w:type="dxa"/>
            <w:vAlign w:val="center"/>
          </w:tcPr>
          <w:p w14:paraId="214E5738">
            <w:pPr>
              <w:pBdr/>
              <w:spacing w:after="0" w:before="0" w:line="240"/>
              <w:ind/>
              <w:jc w:val="both"/>
              <w:rPr>
                <w:rFonts w:ascii="Arial" w:hAnsi="Arial" w:cs="Arial"/>
              </w:rPr>
            </w:pPr>
            <w:r>
              <w:rPr>
                <w:rFonts w:ascii="Arial" w:hAnsi="Arial" w:eastAsia="Arial" w:cs="Arial"/>
                <w:b/>
                <w:color w:val="1f1f1f"/>
                <w:sz w:val="24"/>
              </w:rPr>
              <w:t xml:space="preserve">Aporte Principal al Documento</w:t>
            </w:r>
            <w:r>
              <w:rPr>
                <w:rFonts w:ascii="Arial" w:hAnsi="Arial" w:eastAsia="Arial" w:cs="Arial"/>
              </w:rPr>
            </w:r>
          </w:p>
        </w:tc>
        <w:tc>
          <w:tcPr>
            <w:shd w:val="clear" w:color="efefef" w:fill="efefef"/>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94" w:type="dxa"/>
            <w:vAlign w:val="center"/>
          </w:tcPr>
          <w:p w14:paraId="540EED3F">
            <w:pPr>
              <w:pBdr/>
              <w:spacing w:after="0" w:before="0" w:line="240"/>
              <w:ind/>
              <w:jc w:val="both"/>
              <w:rPr>
                <w:rFonts w:ascii="Arial" w:hAnsi="Arial" w:cs="Arial"/>
              </w:rPr>
            </w:pPr>
            <w:r>
              <w:rPr>
                <w:rFonts w:ascii="Arial" w:hAnsi="Arial" w:eastAsia="Arial" w:cs="Arial"/>
                <w:b/>
                <w:color w:val="1f1f1f"/>
                <w:sz w:val="24"/>
              </w:rPr>
              <w:t xml:space="preserve">¿En qué capítulo/sección ponerlo?</w:t>
            </w:r>
            <w:r>
              <w:rPr>
                <w:rFonts w:ascii="Arial" w:hAnsi="Arial" w:eastAsia="Arial" w:cs="Arial"/>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522" w:type="dxa"/>
            <w:vAlign w:val="center"/>
          </w:tcPr>
          <w:p w14:paraId="78D4FF64">
            <w:pPr>
              <w:pBdr/>
              <w:spacing w:after="0" w:before="0" w:line="240"/>
              <w:ind/>
              <w:jc w:val="both"/>
              <w:rPr>
                <w:rFonts w:ascii="Arial" w:hAnsi="Arial" w:cs="Arial"/>
              </w:rPr>
            </w:pPr>
            <w:r>
              <w:rPr>
                <w:rFonts w:ascii="Arial" w:hAnsi="Arial" w:eastAsia="Arial" w:cs="Arial"/>
                <w:b/>
                <w:color w:val="1f1f1f"/>
                <w:sz w:val="24"/>
              </w:rPr>
              <w:t xml:space="preserve">Renkl et al. (2002)</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38" w:type="dxa"/>
            <w:vAlign w:val="center"/>
          </w:tcPr>
          <w:p w14:paraId="25F910F9">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color w:val="1f1f1f"/>
                <w:sz w:val="24"/>
              </w:rPr>
              <w:t xml:space="preserve">Estrategia de andamiaje e instrucciones instruccionales. </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94" w:type="dxa"/>
            <w:vAlign w:val="center"/>
          </w:tcPr>
          <w:p w14:paraId="3928A662">
            <w:pPr>
              <w:pBdr/>
              <w:spacing w:after="0" w:before="0" w:line="240"/>
              <w:ind/>
              <w:jc w:val="both"/>
              <w:rPr>
                <w:rFonts w:ascii="Arial" w:hAnsi="Arial" w:cs="Arial"/>
              </w:rPr>
            </w:pPr>
            <w:r>
              <w:rPr>
                <w:rFonts w:ascii="Arial" w:hAnsi="Arial" w:eastAsia="Arial" w:cs="Arial"/>
                <w:i/>
                <w:color w:val="1f1f1f"/>
                <w:sz w:val="24"/>
              </w:rPr>
              <w:t xml:space="preserve">Diseño del Sistema / Pedagogía</w:t>
            </w:r>
            <w:r>
              <w:rPr>
                <w:rFonts w:ascii="Arial" w:hAnsi="Arial" w:eastAsia="Arial" w:cs="Arial"/>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522" w:type="dxa"/>
            <w:vAlign w:val="center"/>
          </w:tcPr>
          <w:p w14:paraId="76BFBDEF">
            <w:pPr>
              <w:pBdr/>
              <w:spacing w:after="0" w:before="0" w:line="240"/>
              <w:ind/>
              <w:jc w:val="both"/>
              <w:rPr>
                <w:rFonts w:ascii="Arial" w:hAnsi="Arial" w:cs="Arial"/>
              </w:rPr>
            </w:pPr>
            <w:r>
              <w:rPr>
                <w:rFonts w:ascii="Arial" w:hAnsi="Arial" w:eastAsia="Arial" w:cs="Arial"/>
                <w:b/>
                <w:color w:val="1f1f1f"/>
                <w:sz w:val="24"/>
              </w:rPr>
              <w:t xml:space="preserve">Gray et al. (2007)</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38" w:type="dxa"/>
            <w:vAlign w:val="center"/>
          </w:tcPr>
          <w:p w14:paraId="34C6B960">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color w:val="1f1f1f"/>
                <w:sz w:val="24"/>
              </w:rPr>
              <w:t xml:space="preserve">Limitación de recursos y prevención de ensayo/error. </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94" w:type="dxa"/>
            <w:vAlign w:val="center"/>
          </w:tcPr>
          <w:p w14:paraId="245FA36E">
            <w:pPr>
              <w:pBdr/>
              <w:spacing w:after="0" w:before="0" w:line="240"/>
              <w:ind/>
              <w:jc w:val="both"/>
              <w:rPr>
                <w:rFonts w:ascii="Arial" w:hAnsi="Arial" w:cs="Arial"/>
              </w:rPr>
            </w:pPr>
            <w:r>
              <w:rPr>
                <w:rFonts w:ascii="Arial" w:hAnsi="Arial" w:eastAsia="Arial" w:cs="Arial"/>
                <w:i/>
                <w:color w:val="1f1f1f"/>
                <w:sz w:val="24"/>
              </w:rPr>
              <w:t xml:space="preserve">Mecánicas de Juego / Justificación</w:t>
            </w:r>
            <w:r>
              <w:rPr>
                <w:rFonts w:ascii="Arial" w:hAnsi="Arial" w:eastAsia="Arial" w:cs="Arial"/>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522" w:type="dxa"/>
            <w:vAlign w:val="center"/>
          </w:tcPr>
          <w:p w14:paraId="5E1DB77F">
            <w:pPr>
              <w:pBdr/>
              <w:spacing w:after="0" w:before="0" w:line="240"/>
              <w:ind/>
              <w:jc w:val="both"/>
              <w:rPr>
                <w:rFonts w:ascii="Arial" w:hAnsi="Arial" w:cs="Arial"/>
              </w:rPr>
            </w:pPr>
            <w:r>
              <w:rPr>
                <w:rFonts w:ascii="Arial" w:hAnsi="Arial" w:eastAsia="Arial" w:cs="Arial"/>
                <w:b/>
                <w:color w:val="1f1f1f"/>
                <w:sz w:val="24"/>
              </w:rPr>
              <w:t xml:space="preserve">Bers (2010)</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38" w:type="dxa"/>
            <w:vAlign w:val="center"/>
          </w:tcPr>
          <w:p w14:paraId="126034AC">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color w:val="1f1f1f"/>
                <w:sz w:val="24"/>
              </w:rPr>
              <w:t xml:space="preserve">Uso de interfaces 3D físicas/tangibles en la RV. </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94" w:type="dxa"/>
            <w:vAlign w:val="center"/>
          </w:tcPr>
          <w:p w14:paraId="5524EC9D">
            <w:pPr>
              <w:pBdr/>
              <w:spacing w:after="0" w:before="0" w:line="240"/>
              <w:ind/>
              <w:jc w:val="both"/>
              <w:rPr>
                <w:rFonts w:ascii="Arial" w:hAnsi="Arial" w:cs="Arial"/>
              </w:rPr>
            </w:pPr>
            <w:r>
              <w:rPr>
                <w:rFonts w:ascii="Arial" w:hAnsi="Arial" w:eastAsia="Arial" w:cs="Arial"/>
                <w:i/>
                <w:color w:val="1f1f1f"/>
                <w:sz w:val="24"/>
              </w:rPr>
              <w:t xml:space="preserve">Diseño de Interacción (UX/UI)</w:t>
            </w:r>
            <w:r>
              <w:rPr>
                <w:rFonts w:ascii="Arial" w:hAnsi="Arial" w:eastAsia="Arial" w:cs="Arial"/>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522" w:type="dxa"/>
            <w:vAlign w:val="center"/>
          </w:tcPr>
          <w:p w14:paraId="38904DFF">
            <w:pPr>
              <w:pBdr/>
              <w:spacing w:after="0" w:before="0" w:line="240"/>
              <w:ind/>
              <w:jc w:val="both"/>
              <w:rPr>
                <w:rFonts w:ascii="Arial" w:hAnsi="Arial" w:cs="Arial"/>
              </w:rPr>
            </w:pPr>
            <w:r>
              <w:rPr>
                <w:rFonts w:ascii="Arial" w:hAnsi="Arial" w:eastAsia="Arial" w:cs="Arial"/>
                <w:b/>
                <w:color w:val="1f1f1f"/>
                <w:sz w:val="24"/>
              </w:rPr>
              <w:t xml:space="preserve">Matthews et al.</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38" w:type="dxa"/>
            <w:vAlign w:val="center"/>
          </w:tcPr>
          <w:p w14:paraId="1FC44B7D">
            <w:pPr>
              <w:pBdr/>
              <w:spacing w:after="0" w:before="0" w:line="240"/>
              <w:ind/>
              <w:jc w:val="both"/>
              <w:rPr>
                <w:rFonts w:ascii="Arial" w:hAnsi="Arial" w:cs="Arial"/>
              </w:rPr>
            </w:pPr>
            <w:r>
              <w:rPr>
                <w:rFonts w:ascii="Arial" w:hAnsi="Arial" w:eastAsia="Arial" w:cs="Arial"/>
                <w:color w:val="1f1f1f"/>
                <w:sz w:val="24"/>
              </w:rPr>
              <w:t xml:space="preserve">Segmentación por edades e hitos de razonamiento espacial.</w:t>
            </w:r>
            <w:r>
              <w:rPr>
                <w:rFonts w:ascii="Arial" w:hAnsi="Arial" w:eastAsia="Arial" w:cs="Arial"/>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94" w:type="dxa"/>
            <w:vAlign w:val="center"/>
          </w:tcPr>
          <w:p w14:paraId="463F7E36">
            <w:pPr>
              <w:pBdr/>
              <w:spacing w:after="0" w:before="0" w:line="240"/>
              <w:ind/>
              <w:jc w:val="both"/>
              <w:rPr>
                <w:rFonts w:ascii="Arial" w:hAnsi="Arial" w:cs="Arial"/>
              </w:rPr>
            </w:pPr>
            <w:r>
              <w:rPr>
                <w:rFonts w:ascii="Arial" w:hAnsi="Arial" w:eastAsia="Arial" w:cs="Arial"/>
                <w:i/>
                <w:color w:val="1f1f1f"/>
                <w:sz w:val="24"/>
              </w:rPr>
              <w:t xml:space="preserve">Metodología / Definición de Público</w:t>
            </w:r>
            <w:r>
              <w:rPr>
                <w:rFonts w:ascii="Arial" w:hAnsi="Arial" w:eastAsia="Arial" w:cs="Arial"/>
              </w:rPr>
            </w:r>
          </w:p>
        </w:tc>
      </w:tr>
    </w:tbl>
    <w:p w14:paraId="1F48E737">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Arial" w:hAnsi="Arial" w:cs="Arial"/>
        </w:rPr>
      </w:pPr>
      <w:r>
        <w:rPr>
          <w:rFonts w:ascii="Arial" w:hAnsi="Arial" w:eastAsia="Arial" w:cs="Arial"/>
          <w:color w:val="1f1f1f"/>
          <w:sz w:val="24"/>
        </w:rPr>
        <w:t xml:space="preserve">¿Te sirve este desglose para la redacción de la sección de </w:t>
      </w:r>
      <w:r>
        <w:rPr>
          <w:rFonts w:ascii="Arial" w:hAnsi="Arial" w:eastAsia="Arial" w:cs="Arial"/>
          <w:i/>
          <w:color w:val="1f1f1f"/>
          <w:sz w:val="24"/>
        </w:rPr>
        <w:t xml:space="preserve">Trabajos Relacionados</w:t>
      </w:r>
      <w:r>
        <w:rPr>
          <w:rFonts w:ascii="Arial" w:hAnsi="Arial" w:eastAsia="Arial" w:cs="Arial"/>
          <w:color w:val="1f1f1f"/>
          <w:sz w:val="24"/>
        </w:rPr>
        <w:t xml:space="preserve"> / </w:t>
      </w:r>
      <w:r>
        <w:rPr>
          <w:rFonts w:ascii="Arial" w:hAnsi="Arial" w:eastAsia="Arial" w:cs="Arial"/>
          <w:i/>
          <w:color w:val="1f1f1f"/>
          <w:sz w:val="24"/>
        </w:rPr>
        <w:t xml:space="preserve">Marco Teórico</w:t>
      </w:r>
      <w:r>
        <w:rPr>
          <w:rFonts w:ascii="Arial" w:hAnsi="Arial" w:eastAsia="Arial" w:cs="Arial"/>
          <w:color w:val="1f1f1f"/>
          <w:sz w:val="24"/>
        </w:rPr>
        <w:t xml:space="preserve">, o necesitas que profundicemos en las citas textuales y argumentos específicos para el marco metodológico?</w:t>
      </w:r>
      <w:r>
        <w:rPr>
          <w:rFonts w:ascii="Arial" w:hAnsi="Arial" w:eastAsia="Arial" w:cs="Arial"/>
        </w:rPr>
      </w:r>
    </w:p>
    <w:p>
      <w:pPr>
        <w:pBdr/>
        <w:spacing/>
        <w:ind/>
        <w:jc w:val="both"/>
        <w:rPr>
          <w:rFonts w:ascii="Arial" w:hAnsi="Arial" w:cs="Arial"/>
        </w:rPr>
      </w:pPr>
      <w:r>
        <w:rPr>
          <w:rFonts w:ascii="Arial" w:hAnsi="Arial" w:eastAsia="Arial" w:cs="Arial"/>
        </w:rPr>
      </w:r>
      <w:r>
        <w:rPr>
          <w:rFonts w:ascii="Arial" w:hAnsi="Arial" w:eastAsia="Arial" w:cs="Arial"/>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C67E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F2DFB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9F584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F7CB50E"/>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61405E2"/>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EF13204"/>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3407C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BB74ADC"/>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6C10035"/>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FFB40E7"/>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C1AB1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8CDD9C1"/>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5FF1D2F"/>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B401576"/>
    <w:lvl w:ilvl="0">
      <w:isLgl w:val="false"/>
      <w:lvlJc w:val="left"/>
      <w:lvlText w:val="·"/>
      <w:numFmt w:val="bullet"/>
      <w:pPr>
        <w:pBdr/>
        <w:spacing/>
        <w:ind w:hanging="360" w:left="709"/>
      </w:pPr>
      <w:rPr>
        <w:rFonts w:hint="default" w:ascii="Symbol" w:hAnsi="Symbol" w:eastAsia="Symbol" w:cs="Symbol"/>
        <w:color w:val="1f1f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2026-08-03T10:29:27Z</dcterms:modified>
</cp:coreProperties>
</file>