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B10ED" w14:textId="77777777" w:rsidR="0022325B" w:rsidRPr="0022325B" w:rsidRDefault="0022325B" w:rsidP="0022325B">
      <w:pPr>
        <w:numPr>
          <w:ilvl w:val="0"/>
          <w:numId w:val="1"/>
        </w:numPr>
        <w:rPr>
          <w:b/>
          <w:bCs/>
        </w:rPr>
      </w:pPr>
      <w:r w:rsidRPr="0022325B">
        <w:rPr>
          <w:b/>
          <w:bCs/>
        </w:rPr>
        <w:fldChar w:fldCharType="begin"/>
      </w:r>
      <w:r w:rsidRPr="0022325B">
        <w:rPr>
          <w:b/>
          <w:bCs/>
        </w:rPr>
        <w:instrText>HYPERLINK "https://openreview.net/forum?id=2sLKNPD6Zw&amp;noteId=9szwokbezo"</w:instrText>
      </w:r>
      <w:r w:rsidRPr="0022325B">
        <w:rPr>
          <w:b/>
          <w:bCs/>
        </w:rPr>
      </w:r>
      <w:r w:rsidRPr="0022325B">
        <w:rPr>
          <w:b/>
          <w:bCs/>
        </w:rPr>
        <w:fldChar w:fldCharType="separate"/>
      </w:r>
      <w:r w:rsidRPr="0022325B">
        <w:rPr>
          <w:rStyle w:val="Hyperlink"/>
          <w:b/>
          <w:bCs/>
        </w:rPr>
        <w:t>Government AI Policy: Outcome Maturity, Calibration, and Threshold Governance in Credit Decisions</w:t>
      </w:r>
      <w:r w:rsidRPr="0022325B">
        <w:fldChar w:fldCharType="end"/>
      </w:r>
    </w:p>
    <w:p w14:paraId="3C13930F" w14:textId="77777777" w:rsidR="00590E31" w:rsidRPr="0037070C" w:rsidRDefault="0022325B" w:rsidP="0022325B">
      <w:pPr>
        <w:rPr>
          <w:b/>
          <w:bCs/>
          <w:highlight w:val="yellow"/>
        </w:rPr>
      </w:pPr>
      <w:r w:rsidRPr="0037070C">
        <w:rPr>
          <w:b/>
          <w:bCs/>
          <w:highlight w:val="yellow"/>
        </w:rPr>
        <w:t>Review</w:t>
      </w:r>
      <w:r w:rsidR="00590E31" w:rsidRPr="0037070C">
        <w:rPr>
          <w:b/>
          <w:bCs/>
          <w:highlight w:val="yellow"/>
        </w:rPr>
        <w:t>er-1</w:t>
      </w:r>
    </w:p>
    <w:p w14:paraId="7E45077F" w14:textId="40B35D6A" w:rsidR="0022325B" w:rsidRPr="0037070C" w:rsidRDefault="0022325B" w:rsidP="0022325B">
      <w:pPr>
        <w:rPr>
          <w:highlight w:val="yellow"/>
        </w:rPr>
      </w:pPr>
      <w:r w:rsidRPr="0037070C">
        <w:rPr>
          <w:b/>
          <w:bCs/>
          <w:highlight w:val="yellow"/>
        </w:rPr>
        <w:t>:</w:t>
      </w:r>
      <w:r w:rsidRPr="0037070C">
        <w:rPr>
          <w:highlight w:val="yellow"/>
        </w:rPr>
        <w:t xml:space="preserve"> Title: Useful governance framing, but outcome-dependent maturity selection undermines the headline calibration and slice findings; Muslim-community relevance is speculative Summary Using 2.70M </w:t>
      </w:r>
      <w:proofErr w:type="spellStart"/>
      <w:r w:rsidRPr="0037070C">
        <w:rPr>
          <w:highlight w:val="yellow"/>
        </w:rPr>
        <w:t>LendingClub</w:t>
      </w:r>
      <w:proofErr w:type="spellEnd"/>
      <w:r w:rsidRPr="0037070C">
        <w:rPr>
          <w:highlight w:val="yellow"/>
        </w:rPr>
        <w:t xml:space="preserve"> loans with a chronological split, the authors restrict evaluation to “outcome-mature” loans (10.3% of test). They report that SGD logistic regression, </w:t>
      </w:r>
      <w:proofErr w:type="spellStart"/>
      <w:r w:rsidRPr="0037070C">
        <w:rPr>
          <w:highlight w:val="yellow"/>
        </w:rPr>
        <w:t>HistGB</w:t>
      </w:r>
      <w:proofErr w:type="spellEnd"/>
      <w:r w:rsidRPr="0037070C">
        <w:rPr>
          <w:highlight w:val="yellow"/>
        </w:rPr>
        <w:t xml:space="preserve"> and an MLP are indistinguishable out of time (AUC 0.6706–0.6762), that the validation-selected </w:t>
      </w:r>
      <w:proofErr w:type="spellStart"/>
      <w:r w:rsidRPr="0037070C">
        <w:rPr>
          <w:highlight w:val="yellow"/>
        </w:rPr>
        <w:t>HistGB</w:t>
      </w:r>
      <w:proofErr w:type="spellEnd"/>
      <w:r w:rsidRPr="0037070C">
        <w:rPr>
          <w:highlight w:val="yellow"/>
        </w:rPr>
        <w:t xml:space="preserve"> under-predicts non-stress default about twofold, that validation-fitted cost-optimal thresholds swing widely with the </w:t>
      </w:r>
      <w:proofErr w:type="gramStart"/>
      <w:r w:rsidRPr="0037070C">
        <w:rPr>
          <w:highlight w:val="yellow"/>
        </w:rPr>
        <w:t>FN:FP</w:t>
      </w:r>
      <w:proofErr w:type="gramEnd"/>
      <w:r w:rsidRPr="0037070C">
        <w:rPr>
          <w:highlight w:val="yellow"/>
        </w:rPr>
        <w:t xml:space="preserve"> cost ratio, and that an exact-matched grade-A/36-month slice has FNR =1. They propose a control framework (Table 6) and discuss Shariah-compliant lending in Australia as implications. Strengths • Chronological design with a fixed, pre-declared model-selection rule. The paper reports openly that the validation-selected model is not the best on test. • Careful scoping: reject inference, small stress sample and external validity are acknowledged, and the Australia section is labelled as hypotheses. • Internal consistency is good. Split counts sum to 2,703,430, and the Table 4 identities hold: precision=(1−FNR) ȳ/review rate reproduces 0.1724, 0.2256 and 0.346. • The </w:t>
      </w:r>
      <w:proofErr w:type="spellStart"/>
      <w:r w:rsidRPr="0037070C">
        <w:rPr>
          <w:highlight w:val="yellow"/>
        </w:rPr>
        <w:t>diagnostic→trigger→action</w:t>
      </w:r>
      <w:proofErr w:type="spellEnd"/>
      <w:r w:rsidRPr="0037070C">
        <w:rPr>
          <w:highlight w:val="yellow"/>
        </w:rPr>
        <w:t xml:space="preserve"> structure (Table 6, Fig. 3) is clear and could be operationally useful. Major weaknesses W1. The maturity rule conditions on the outcome (informative censoring). • A loan is “mature” if it has a terminal status or has completed follow-up. For April–December 2019 originations essentially none has completed a 36- or 60-month term, so test-mature loans are those with early terminal events (charge-off or prepayment). Performing loans are censored while defaulted loans are terminal, so selection depends on Y. • The 14.64% is therefore not the cohort default rate, and neither is 2.96%. It is the default share among early-terminating loans. • The paper’s own numbers show that the label-generating process differs across splits: maturity is 45%/7%/10% and mature default rate is 0.193/0.101/0.146 for train/</w:t>
      </w:r>
      <w:proofErr w:type="spellStart"/>
      <w:r w:rsidRPr="0037070C">
        <w:rPr>
          <w:highlight w:val="yellow"/>
        </w:rPr>
        <w:t>val</w:t>
      </w:r>
      <w:proofErr w:type="spellEnd"/>
      <w:r w:rsidRPr="0037070C">
        <w:rPr>
          <w:highlight w:val="yellow"/>
        </w:rPr>
        <w:t>/test. • The “fivefold prevalence penalty” and everything downstream are therefore artifacts of the selection mechanism. Please use a fixed-horizon target (e.g., default within 12 or 24 months, restricted to vintages with full follow-up), a competing-risks/survival formulation (Banasik et al. and Bellotti &amp; Crook are cited but not used), or IPCW, with a sensitivity analysis over the horizon. W2. The calibration finding is not established as a model failure, and proper scores are misreported. • A factor-of-two under-prediction (mean prediction 0.0702 vs. 0.1469; logit intercept 0.543) is what selection-induced prevalence shift produces, and it is removed by intercept recalibration. • A constant base-rate predictor on test has BS0=ȳ(1−</w:t>
      </w:r>
      <w:proofErr w:type="gramStart"/>
      <w:r w:rsidRPr="0037070C">
        <w:rPr>
          <w:highlight w:val="yellow"/>
        </w:rPr>
        <w:t>ȳ)=</w:t>
      </w:r>
      <w:proofErr w:type="gramEnd"/>
      <w:r w:rsidRPr="0037070C">
        <w:rPr>
          <w:highlight w:val="yellow"/>
        </w:rPr>
        <w:t>0.1464×0.8536≈0.1250 and H(ȳ)=−ȳ ln ȳ−(1−ȳ) ln (1−</w:t>
      </w:r>
      <w:proofErr w:type="gramStart"/>
      <w:r w:rsidRPr="0037070C">
        <w:rPr>
          <w:highlight w:val="yellow"/>
        </w:rPr>
        <w:t>ȳ)≈</w:t>
      </w:r>
      <w:proofErr w:type="gramEnd"/>
      <w:r w:rsidRPr="0037070C">
        <w:rPr>
          <w:highlight w:val="yellow"/>
        </w:rPr>
        <w:t xml:space="preserve">0.4163. Table 2 gives </w:t>
      </w:r>
      <w:proofErr w:type="spellStart"/>
      <w:r w:rsidRPr="0037070C">
        <w:rPr>
          <w:highlight w:val="yellow"/>
        </w:rPr>
        <w:t>HistGB</w:t>
      </w:r>
      <w:proofErr w:type="spellEnd"/>
      <w:r w:rsidRPr="0037070C">
        <w:rPr>
          <w:highlight w:val="yellow"/>
        </w:rPr>
        <w:t xml:space="preserve"> Brier 0.1262 and log loss 0.4311, SGD 0.1275 and 0.4535, MLP 0.1240 and 0.4234. Brier skill scores are ≈−1%, −2% and +0.8%, and all three log losses exceed the constant </w:t>
      </w:r>
      <w:proofErr w:type="gramStart"/>
      <w:r w:rsidRPr="0037070C">
        <w:rPr>
          <w:highlight w:val="yellow"/>
        </w:rPr>
        <w:t>predictor’s</w:t>
      </w:r>
      <w:proofErr w:type="gramEnd"/>
      <w:r w:rsidRPr="0037070C">
        <w:rPr>
          <w:highlight w:val="yellow"/>
        </w:rPr>
        <w:t xml:space="preserve">. • On validation the </w:t>
      </w:r>
      <w:r w:rsidRPr="0037070C">
        <w:rPr>
          <w:highlight w:val="yellow"/>
        </w:rPr>
        <w:lastRenderedPageBreak/>
        <w:t>same models do beat the constant predictor (</w:t>
      </w:r>
      <w:proofErr w:type="spellStart"/>
      <w:r w:rsidRPr="0037070C">
        <w:rPr>
          <w:highlight w:val="yellow"/>
        </w:rPr>
        <w:t>HistGB</w:t>
      </w:r>
      <w:proofErr w:type="spellEnd"/>
      <w:r w:rsidRPr="0037070C">
        <w:rPr>
          <w:highlight w:val="yellow"/>
        </w:rPr>
        <w:t xml:space="preserve"> Brier 0.0869 vs. 0.0910; log loss 0.3104 vs. 0.3277). • Please report skill scores. Separate calibration-in-the-large from slope error by recalibrating on validation and evaluating on test. The claim that this is “the most decision-relevant result in the paper” is not supported. W3. “Statistically indistinguishable” contradicts Table 2. • The test AUC 95% CI for SGD, [0.6752, 0.6771], does not overlap </w:t>
      </w:r>
      <w:proofErr w:type="spellStart"/>
      <w:r w:rsidRPr="0037070C">
        <w:rPr>
          <w:highlight w:val="yellow"/>
        </w:rPr>
        <w:t>HistGB</w:t>
      </w:r>
      <w:proofErr w:type="spellEnd"/>
      <w:r w:rsidRPr="0037070C">
        <w:rPr>
          <w:highlight w:val="yellow"/>
        </w:rPr>
        <w:t xml:space="preserve"> [0.6674, 0.6738] or MLP [0.6689, 0.6740]. Section 3.2 and P1 say the intervals overlap. • How </w:t>
      </w:r>
      <w:proofErr w:type="gramStart"/>
      <w:r w:rsidRPr="0037070C">
        <w:rPr>
          <w:highlight w:val="yellow"/>
        </w:rPr>
        <w:t>the CIs are</w:t>
      </w:r>
      <w:proofErr w:type="gramEnd"/>
      <w:r w:rsidRPr="0037070C">
        <w:rPr>
          <w:highlight w:val="yellow"/>
        </w:rPr>
        <w:t xml:space="preserve"> formed over three seeds (bootstrap? t with 2 </w:t>
      </w:r>
      <w:proofErr w:type="spellStart"/>
      <w:r w:rsidRPr="0037070C">
        <w:rPr>
          <w:highlight w:val="yellow"/>
        </w:rPr>
        <w:t>d.f.</w:t>
      </w:r>
      <w:proofErr w:type="spellEnd"/>
      <w:r w:rsidRPr="0037070C">
        <w:rPr>
          <w:highlight w:val="yellow"/>
        </w:rPr>
        <w:t xml:space="preserve">?) is not stated. Use a paired DeLong or bootstrap ΔAUC on the shared test cohort. • “No capacity premium” is plausible but under-tested. Models are trained on a 180K subsample of 875K mature loans, hyperparameters and tuning budget are not reported, and the assertion that three factors explain the gap to published AUC 0.70–0.78 has no ablation. Please ablate the maturity rule, the training-set size and the post-origination fields. • </w:t>
      </w:r>
      <w:proofErr w:type="spellStart"/>
      <w:r w:rsidRPr="0037070C">
        <w:rPr>
          <w:highlight w:val="yellow"/>
        </w:rPr>
        <w:t>HistGB</w:t>
      </w:r>
      <w:proofErr w:type="spellEnd"/>
      <w:r w:rsidRPr="0037070C">
        <w:rPr>
          <w:highlight w:val="yellow"/>
        </w:rPr>
        <w:t xml:space="preserve"> was chosen by validation AUC (0.6832) yet is worst on test. Please run the governance analyses for all three models, especially the logistic baseline. W4. The threshold analysis is largely textbook and inflated by the calibration and prevalence problems. • For calibrated scores, the Bayes-optimal threshold is t</w:t>
      </w:r>
      <w:r w:rsidRPr="0037070C">
        <w:rPr>
          <w:rFonts w:ascii="Cambria Math" w:hAnsi="Cambria Math" w:cs="Cambria Math"/>
          <w:highlight w:val="yellow"/>
        </w:rPr>
        <w:t>⋆</w:t>
      </w:r>
      <w:r w:rsidRPr="0037070C">
        <w:rPr>
          <w:highlight w:val="yellow"/>
        </w:rPr>
        <w:t>=</w:t>
      </w:r>
      <w:proofErr w:type="spellStart"/>
      <w:r w:rsidRPr="0037070C">
        <w:rPr>
          <w:highlight w:val="yellow"/>
        </w:rPr>
        <w:t>cFP</w:t>
      </w:r>
      <w:proofErr w:type="spellEnd"/>
      <w:r w:rsidRPr="0037070C">
        <w:rPr>
          <w:highlight w:val="yellow"/>
        </w:rPr>
        <w:t>/(</w:t>
      </w:r>
      <w:proofErr w:type="spellStart"/>
      <w:r w:rsidRPr="0037070C">
        <w:rPr>
          <w:highlight w:val="yellow"/>
        </w:rPr>
        <w:t>cFP+</w:t>
      </w:r>
      <w:proofErr w:type="gramStart"/>
      <w:r w:rsidRPr="0037070C">
        <w:rPr>
          <w:highlight w:val="yellow"/>
        </w:rPr>
        <w:t>cFN</w:t>
      </w:r>
      <w:proofErr w:type="spellEnd"/>
      <w:r w:rsidRPr="0037070C">
        <w:rPr>
          <w:highlight w:val="yellow"/>
        </w:rPr>
        <w:t>)=</w:t>
      </w:r>
      <w:proofErr w:type="gramEnd"/>
      <w:r w:rsidRPr="0037070C">
        <w:rPr>
          <w:highlight w:val="yellow"/>
        </w:rPr>
        <w:t xml:space="preserve">1/(1+r), i.e., 0.167, 0.091 and 0.048 for r=5,10,20 (Elkan 2001). The reported 0.198, 0.072 and 0.029 deviate because of miscalibration and a </w:t>
      </w:r>
      <w:proofErr w:type="spellStart"/>
      <w:r w:rsidRPr="0037070C">
        <w:rPr>
          <w:highlight w:val="yellow"/>
        </w:rPr>
        <w:t>validation</w:t>
      </w:r>
      <w:r w:rsidRPr="0037070C">
        <w:rPr>
          <w:rFonts w:ascii="Aptos" w:hAnsi="Aptos" w:cs="Aptos"/>
          <w:highlight w:val="yellow"/>
        </w:rPr>
        <w:t>→</w:t>
      </w:r>
      <w:r w:rsidRPr="0037070C">
        <w:rPr>
          <w:highlight w:val="yellow"/>
        </w:rPr>
        <w:t>test</w:t>
      </w:r>
      <w:proofErr w:type="spellEnd"/>
      <w:r w:rsidRPr="0037070C">
        <w:rPr>
          <w:highlight w:val="yellow"/>
        </w:rPr>
        <w:t xml:space="preserve"> prevalence shift (0.101</w:t>
      </w:r>
      <w:r w:rsidRPr="0037070C">
        <w:rPr>
          <w:rFonts w:ascii="Aptos" w:hAnsi="Aptos" w:cs="Aptos"/>
          <w:highlight w:val="yellow"/>
        </w:rPr>
        <w:t>→</w:t>
      </w:r>
      <w:r w:rsidRPr="0037070C">
        <w:rPr>
          <w:highlight w:val="yellow"/>
        </w:rPr>
        <w:t xml:space="preserve">0.146). </w:t>
      </w:r>
      <w:r w:rsidRPr="0037070C">
        <w:rPr>
          <w:rFonts w:ascii="Aptos" w:hAnsi="Aptos" w:cs="Aptos"/>
          <w:highlight w:val="yellow"/>
        </w:rPr>
        <w:t>“</w:t>
      </w:r>
      <w:r w:rsidRPr="0037070C">
        <w:rPr>
          <w:highlight w:val="yellow"/>
        </w:rPr>
        <w:t>Cost assumptions dominate architecture</w:t>
      </w:r>
      <w:r w:rsidRPr="0037070C">
        <w:rPr>
          <w:rFonts w:ascii="Aptos" w:hAnsi="Aptos" w:cs="Aptos"/>
          <w:highlight w:val="yellow"/>
        </w:rPr>
        <w:t>”</w:t>
      </w:r>
      <w:r w:rsidRPr="0037070C">
        <w:rPr>
          <w:highlight w:val="yellow"/>
        </w:rPr>
        <w:t xml:space="preserve"> is therefore largely a decision-theoretic identity, not an empirical discovery. </w:t>
      </w:r>
      <w:r w:rsidRPr="0037070C">
        <w:rPr>
          <w:rFonts w:ascii="Aptos" w:hAnsi="Aptos" w:cs="Aptos"/>
          <w:highlight w:val="yellow"/>
        </w:rPr>
        <w:t>•</w:t>
      </w:r>
      <w:r w:rsidRPr="0037070C">
        <w:rPr>
          <w:highlight w:val="yellow"/>
        </w:rPr>
        <w:t xml:space="preserve"> At r=5 with AUC </w:t>
      </w:r>
      <w:r w:rsidRPr="0037070C">
        <w:rPr>
          <w:rFonts w:ascii="Aptos" w:hAnsi="Aptos" w:cs="Aptos"/>
          <w:highlight w:val="yellow"/>
        </w:rPr>
        <w:t>≈</w:t>
      </w:r>
      <w:r w:rsidRPr="0037070C">
        <w:rPr>
          <w:highlight w:val="yellow"/>
        </w:rPr>
        <w:t xml:space="preserve">0.67, flagging almost nobody is optimal. The model is not </w:t>
      </w:r>
      <w:r w:rsidRPr="0037070C">
        <w:rPr>
          <w:rFonts w:ascii="Aptos" w:hAnsi="Aptos" w:cs="Aptos"/>
          <w:highlight w:val="yellow"/>
        </w:rPr>
        <w:t>“</w:t>
      </w:r>
      <w:r w:rsidRPr="0037070C">
        <w:rPr>
          <w:highlight w:val="yellow"/>
        </w:rPr>
        <w:t>worthless</w:t>
      </w:r>
      <w:r w:rsidRPr="0037070C">
        <w:rPr>
          <w:rFonts w:ascii="Aptos" w:hAnsi="Aptos" w:cs="Aptos"/>
          <w:highlight w:val="yellow"/>
        </w:rPr>
        <w:t>”</w:t>
      </w:r>
      <w:r w:rsidRPr="0037070C">
        <w:rPr>
          <w:highlight w:val="yellow"/>
        </w:rPr>
        <w:t xml:space="preserve">; the decision problem is unfavourable. </w:t>
      </w:r>
      <w:r w:rsidRPr="0037070C">
        <w:rPr>
          <w:rFonts w:ascii="Aptos" w:hAnsi="Aptos" w:cs="Aptos"/>
          <w:highlight w:val="yellow"/>
        </w:rPr>
        <w:t>•</w:t>
      </w:r>
      <w:r w:rsidRPr="0037070C">
        <w:rPr>
          <w:highlight w:val="yellow"/>
        </w:rPr>
        <w:t xml:space="preserve"> Please present net-benefit or decision-curve analysis over a continuum of r with bootstrap CIs (including the variability of the validation-selected threshold), normalised to the no-model baseline. Raw cost units are not comparable across r. W5. The slice audit misreads FNR. • In grade A/36m the slice default rate is about 4.5% (7/154), below t</w:t>
      </w:r>
      <w:r w:rsidRPr="0037070C">
        <w:rPr>
          <w:rFonts w:ascii="Cambria Math" w:hAnsi="Cambria Math" w:cs="Cambria Math"/>
          <w:highlight w:val="yellow"/>
        </w:rPr>
        <w:t>⋆</w:t>
      </w:r>
      <w:r w:rsidRPr="0037070C">
        <w:rPr>
          <w:highlight w:val="yellow"/>
        </w:rPr>
        <w:t xml:space="preserve">=0.091 at r=10. Flagging nothing there is what the cost-optimal rule should do. FNR at a global threshold is a function of slice prevalence, not evidence of failure. P4 needs slice-level calibration (mean prediction vs. observed with CI) or slice net benefit. </w:t>
      </w:r>
      <w:r w:rsidRPr="0037070C">
        <w:rPr>
          <w:rFonts w:ascii="Aptos" w:hAnsi="Aptos" w:cs="Aptos"/>
          <w:highlight w:val="yellow"/>
        </w:rPr>
        <w:t>•</w:t>
      </w:r>
      <w:r w:rsidRPr="0037070C">
        <w:rPr>
          <w:highlight w:val="yellow"/>
        </w:rPr>
        <w:t xml:space="preserve"> With 7 defaults the Wilson CI is [0.646, 1.0]. The </w:t>
      </w:r>
      <w:r w:rsidRPr="0037070C">
        <w:rPr>
          <w:rFonts w:ascii="Aptos" w:hAnsi="Aptos" w:cs="Aptos"/>
          <w:highlight w:val="yellow"/>
        </w:rPr>
        <w:t>“</w:t>
      </w:r>
      <w:r w:rsidRPr="0037070C">
        <w:rPr>
          <w:highlight w:val="yellow"/>
        </w:rPr>
        <w:t>worst slice</w:t>
      </w:r>
      <w:r w:rsidRPr="0037070C">
        <w:rPr>
          <w:rFonts w:ascii="Aptos" w:hAnsi="Aptos" w:cs="Aptos"/>
          <w:highlight w:val="yellow"/>
        </w:rPr>
        <w:t>”</w:t>
      </w:r>
      <w:r w:rsidRPr="0037070C">
        <w:rPr>
          <w:highlight w:val="yellow"/>
        </w:rPr>
        <w:t xml:space="preserve"> is selected post hoc from many cells, with no multiplicity adjustment or disclosure of how many cells were searched. • Table 5 has 8 rows, but the text refers to “nine of fourteen” intervals and a cell-level AUC of 0.4737 that is not tabulated. W6. The “stress” regime is unclear. The stress threshold is the training-period 75th percentile of national unemployment (4.90%). To my knowledge, US unemployment in April–December 2019 was about 3.5–3.9%, so no test loan should be in “stress” under a national criterion. Please specify the variable (state-level? lagged? interpolated?) that yields 641 stress loans. Stress loans also show a lower observed default rate than non-stress (0.1154 vs. 0.1469), which suggests composition or vintage effects rather than a regime effect. W7. The policy framework is not empirically validated. • The tolerances O</w:t>
      </w:r>
      <w:r w:rsidRPr="0037070C">
        <w:rPr>
          <w:rFonts w:ascii="Cambria Math" w:hAnsi="Cambria Math" w:cs="Cambria Math"/>
          <w:highlight w:val="yellow"/>
        </w:rPr>
        <w:t>⋆</w:t>
      </w:r>
      <w:r w:rsidRPr="0037070C">
        <w:rPr>
          <w:highlight w:val="yellow"/>
        </w:rPr>
        <w:t>, C</w:t>
      </w:r>
      <w:r w:rsidRPr="0037070C">
        <w:rPr>
          <w:rFonts w:ascii="Cambria Math" w:hAnsi="Cambria Math" w:cs="Cambria Math"/>
          <w:highlight w:val="yellow"/>
        </w:rPr>
        <w:t>⋆</w:t>
      </w:r>
      <w:r w:rsidRPr="0037070C">
        <w:rPr>
          <w:highlight w:val="yellow"/>
        </w:rPr>
        <w:t>, FNR</w:t>
      </w:r>
      <w:r w:rsidRPr="0037070C">
        <w:rPr>
          <w:rFonts w:ascii="Cambria Math" w:hAnsi="Cambria Math" w:cs="Cambria Math"/>
          <w:highlight w:val="yellow"/>
        </w:rPr>
        <w:t>⋆</w:t>
      </w:r>
      <w:r w:rsidRPr="0037070C">
        <w:rPr>
          <w:highlight w:val="yellow"/>
        </w:rPr>
        <w:t>, W</w:t>
      </w:r>
      <w:r w:rsidRPr="0037070C">
        <w:rPr>
          <w:rFonts w:ascii="Cambria Math" w:hAnsi="Cambria Math" w:cs="Cambria Math"/>
          <w:highlight w:val="yellow"/>
        </w:rPr>
        <w:t>⋆</w:t>
      </w:r>
      <w:r w:rsidRPr="0037070C">
        <w:rPr>
          <w:highlight w:val="yellow"/>
        </w:rPr>
        <w:t>, S</w:t>
      </w:r>
      <w:r w:rsidRPr="0037070C">
        <w:rPr>
          <w:rFonts w:ascii="Cambria Math" w:hAnsi="Cambria Math" w:cs="Cambria Math"/>
          <w:highlight w:val="yellow"/>
        </w:rPr>
        <w:t>⋆</w:t>
      </w:r>
      <w:r w:rsidRPr="0037070C">
        <w:rPr>
          <w:highlight w:val="yellow"/>
        </w:rPr>
        <w:t xml:space="preserve"> in </w:t>
      </w:r>
      <w:proofErr w:type="spellStart"/>
      <w:r w:rsidRPr="0037070C">
        <w:rPr>
          <w:highlight w:val="yellow"/>
        </w:rPr>
        <w:t>Bt</w:t>
      </w:r>
      <w:proofErr w:type="spellEnd"/>
      <w:r w:rsidRPr="0037070C">
        <w:rPr>
          <w:highlight w:val="yellow"/>
        </w:rPr>
        <w:t xml:space="preserve"> are unspecified. </w:t>
      </w:r>
      <w:r w:rsidRPr="0037070C">
        <w:rPr>
          <w:rFonts w:ascii="Aptos" w:hAnsi="Aptos" w:cs="Aptos"/>
          <w:highlight w:val="yellow"/>
        </w:rPr>
        <w:t>•</w:t>
      </w:r>
      <w:r w:rsidRPr="0037070C">
        <w:rPr>
          <w:highlight w:val="yellow"/>
        </w:rPr>
        <w:t xml:space="preserve"> Section 2.2 promises to show what each regulatory expectation “would have detected”, but no </w:t>
      </w:r>
      <w:r w:rsidRPr="0037070C">
        <w:rPr>
          <w:highlight w:val="yellow"/>
        </w:rPr>
        <w:lastRenderedPageBreak/>
        <w:t xml:space="preserve">rolling-window simulation of trigger behaviour (false-alarm rate, detection delay) is given. • P1–P4 are framed so that any result is “consistent with the evidence”. State the outcomes that would have contradicted each. W8. The Muslim-community and Shariah section is speculative and partly inaccurate. • Murabaha is a cost-plus deferred-sale contract, not profit-and-loss sharing. PLS refers to </w:t>
      </w:r>
      <w:proofErr w:type="spellStart"/>
      <w:r w:rsidRPr="0037070C">
        <w:rPr>
          <w:highlight w:val="yellow"/>
        </w:rPr>
        <w:t>mudarabah</w:t>
      </w:r>
      <w:proofErr w:type="spellEnd"/>
      <w:r w:rsidRPr="0037070C">
        <w:rPr>
          <w:highlight w:val="yellow"/>
        </w:rPr>
        <w:t xml:space="preserve"> and </w:t>
      </w:r>
      <w:proofErr w:type="spellStart"/>
      <w:r w:rsidRPr="0037070C">
        <w:rPr>
          <w:highlight w:val="yellow"/>
        </w:rPr>
        <w:t>musharakah</w:t>
      </w:r>
      <w:proofErr w:type="spellEnd"/>
      <w:r w:rsidRPr="0037070C">
        <w:rPr>
          <w:highlight w:val="yellow"/>
        </w:rPr>
        <w:t xml:space="preserve">. Retail Shariah-compliant finance is predominantly </w:t>
      </w:r>
      <w:proofErr w:type="spellStart"/>
      <w:r w:rsidRPr="0037070C">
        <w:rPr>
          <w:highlight w:val="yellow"/>
        </w:rPr>
        <w:t>murabaha</w:t>
      </w:r>
      <w:proofErr w:type="spellEnd"/>
      <w:r w:rsidRPr="0037070C">
        <w:rPr>
          <w:highlight w:val="yellow"/>
        </w:rPr>
        <w:t xml:space="preserve">, </w:t>
      </w:r>
      <w:proofErr w:type="spellStart"/>
      <w:r w:rsidRPr="0037070C">
        <w:rPr>
          <w:highlight w:val="yellow"/>
        </w:rPr>
        <w:t>ijara</w:t>
      </w:r>
      <w:proofErr w:type="spellEnd"/>
      <w:r w:rsidRPr="0037070C">
        <w:rPr>
          <w:highlight w:val="yellow"/>
        </w:rPr>
        <w:t xml:space="preserve"> and diminishing </w:t>
      </w:r>
      <w:proofErr w:type="spellStart"/>
      <w:r w:rsidRPr="0037070C">
        <w:rPr>
          <w:highlight w:val="yellow"/>
        </w:rPr>
        <w:t>musharakah</w:t>
      </w:r>
      <w:proofErr w:type="spellEnd"/>
      <w:r w:rsidRPr="0037070C">
        <w:rPr>
          <w:highlight w:val="yellow"/>
        </w:rPr>
        <w:t xml:space="preserve">, where credit risk is borne by the financier much as in conventional lending. The argument that PLS makes tail-risk mispricing a “first-order concern” does not map onto the products discussed. • The assumed concentration of Muslim borrowers in small-business, gig and migrant-arrival segments is unsupported and edges toward stereotyping. • Shariah constraints (no compounding late fees, penalties directed to charity, restructuring norms) change the target definition and hence what “default” and “maturity” mean, which is the paper’s own central concern. This is not discussed. • There is no discussion of legal constraints on using religion in credit modelling, or of how to audit disparate impact without collecting religion (proxy inference). • All evidence is US </w:t>
      </w:r>
      <w:proofErr w:type="spellStart"/>
      <w:r w:rsidRPr="0037070C">
        <w:rPr>
          <w:highlight w:val="yellow"/>
        </w:rPr>
        <w:t>LendingClub</w:t>
      </w:r>
      <w:proofErr w:type="spellEnd"/>
      <w:r w:rsidRPr="0037070C">
        <w:rPr>
          <w:highlight w:val="yellow"/>
        </w:rPr>
        <w:t xml:space="preserve">, and the conclusion presents the Australia link as a “plausible priority”. Please either add relevant data or substantially reduce the prominence of this link in the title, section header and conclusion. Minor • The title (“Government AI Policy”) oversells an empirical credit-model audit. • Give the SGD-logistic and </w:t>
      </w:r>
      <w:proofErr w:type="spellStart"/>
      <w:r w:rsidRPr="0037070C">
        <w:rPr>
          <w:highlight w:val="yellow"/>
        </w:rPr>
        <w:t>HistGB</w:t>
      </w:r>
      <w:proofErr w:type="spellEnd"/>
      <w:r w:rsidRPr="0037070C">
        <w:rPr>
          <w:highlight w:val="yellow"/>
        </w:rPr>
        <w:t xml:space="preserve"> hyperparameters, penalty and class-weighting. • Code is promised “upon acceptance”. Please provide an anonymised repository for review. • Provide primary-source pointers for the 2026 regulatory items (e.g., SR 26-2) and for the Australian mapping (CPS 220/CPG 235, RG 274). Questions for authors 1. How do results change with a fixed-horizon label or IPCW-weighted survival target? 2. How is the “stress” regime defined for 2019, and which macro variable is used? 3. What are the Brier and log-loss skill scores against the base-rate predictor, before and after intercept recalibration? 4. Are grade-A/36m slice FNRs different from those implied by the slice base rate and t</w:t>
      </w:r>
      <w:r w:rsidRPr="0037070C">
        <w:rPr>
          <w:rFonts w:ascii="Cambria Math" w:hAnsi="Cambria Math" w:cs="Cambria Math"/>
          <w:highlight w:val="yellow"/>
        </w:rPr>
        <w:t>⋆</w:t>
      </w:r>
      <w:r w:rsidRPr="0037070C">
        <w:rPr>
          <w:highlight w:val="yellow"/>
        </w:rPr>
        <w:t>? 5. What evidence shows the Table 6 controls would have fired appropriately over time? Recommendation The empirical core (maturity effect, calibration, slice FNR) is confounded by outcome-dependent selection and by metric misreadings. The control framework is an unvalidated mapping, and the workshop-specific relevance is hypothetical. The paper is transparent and could be strengthened substantially by a fixed-horizon re-analysis.</w:t>
      </w:r>
    </w:p>
    <w:p w14:paraId="393D8434" w14:textId="77777777" w:rsidR="0022325B" w:rsidRPr="0037070C" w:rsidRDefault="0022325B" w:rsidP="0022325B">
      <w:pPr>
        <w:rPr>
          <w:highlight w:val="yellow"/>
        </w:rPr>
      </w:pPr>
      <w:r w:rsidRPr="0037070C">
        <w:rPr>
          <w:b/>
          <w:bCs/>
          <w:highlight w:val="yellow"/>
        </w:rPr>
        <w:t>Rating:</w:t>
      </w:r>
      <w:r w:rsidRPr="0037070C">
        <w:rPr>
          <w:highlight w:val="yellow"/>
        </w:rPr>
        <w:t xml:space="preserve"> 4</w:t>
      </w:r>
    </w:p>
    <w:p w14:paraId="08059C7B" w14:textId="77777777" w:rsidR="0022325B" w:rsidRPr="0022325B" w:rsidRDefault="0022325B" w:rsidP="0022325B">
      <w:r w:rsidRPr="0037070C">
        <w:rPr>
          <w:b/>
          <w:bCs/>
          <w:highlight w:val="yellow"/>
        </w:rPr>
        <w:t>Confidence:</w:t>
      </w:r>
      <w:r w:rsidRPr="0037070C">
        <w:rPr>
          <w:highlight w:val="yellow"/>
        </w:rPr>
        <w:t xml:space="preserve"> 4</w:t>
      </w:r>
    </w:p>
    <w:p w14:paraId="5A50C923" w14:textId="77777777" w:rsidR="0022325B" w:rsidRPr="0022325B" w:rsidRDefault="0022325B" w:rsidP="0022325B">
      <w:pPr>
        <w:numPr>
          <w:ilvl w:val="0"/>
          <w:numId w:val="1"/>
        </w:numPr>
      </w:pPr>
      <w:proofErr w:type="spellStart"/>
      <w:r w:rsidRPr="0022325B">
        <w:rPr>
          <w:i/>
          <w:iCs/>
        </w:rPr>
        <w:t>NeurIPS</w:t>
      </w:r>
      <w:proofErr w:type="spellEnd"/>
      <w:r w:rsidRPr="0022325B">
        <w:rPr>
          <w:i/>
          <w:iCs/>
        </w:rPr>
        <w:t xml:space="preserve"> 2026 Workshop </w:t>
      </w:r>
      <w:proofErr w:type="spellStart"/>
      <w:r w:rsidRPr="0022325B">
        <w:rPr>
          <w:i/>
          <w:iCs/>
        </w:rPr>
        <w:t>MusIML</w:t>
      </w:r>
      <w:proofErr w:type="spellEnd"/>
      <w:r w:rsidRPr="0022325B">
        <w:rPr>
          <w:i/>
          <w:iCs/>
        </w:rPr>
        <w:t xml:space="preserve"> Submission66 Reviewer 8Cx5</w:t>
      </w:r>
      <w:r w:rsidRPr="0022325B">
        <w:t xml:space="preserve"> added a new </w:t>
      </w:r>
      <w:proofErr w:type="spellStart"/>
      <w:proofErr w:type="gramStart"/>
      <w:r w:rsidRPr="0022325B">
        <w:t>a</w:t>
      </w:r>
      <w:proofErr w:type="spellEnd"/>
      <w:proofErr w:type="gramEnd"/>
      <w:r w:rsidRPr="0022325B">
        <w:t xml:space="preserve"> Official Review edit</w:t>
      </w:r>
    </w:p>
    <w:p w14:paraId="6841353B" w14:textId="77777777" w:rsidR="0022325B" w:rsidRPr="0022325B" w:rsidRDefault="0022325B" w:rsidP="0022325B">
      <w:r w:rsidRPr="0022325B">
        <w:t xml:space="preserve">× </w:t>
      </w:r>
      <w:proofErr w:type="gramStart"/>
      <w:r w:rsidRPr="0022325B">
        <w:t>4  •</w:t>
      </w:r>
      <w:proofErr w:type="gramEnd"/>
      <w:r w:rsidRPr="0022325B">
        <w:t xml:space="preserve">  20 days ago</w:t>
      </w:r>
    </w:p>
    <w:p w14:paraId="28A3F964" w14:textId="77777777" w:rsidR="0022325B" w:rsidRPr="0022325B" w:rsidRDefault="0022325B" w:rsidP="0022325B">
      <w:pPr>
        <w:rPr>
          <w:b/>
          <w:bCs/>
        </w:rPr>
      </w:pPr>
      <w:hyperlink r:id="rId5" w:history="1">
        <w:r w:rsidRPr="0022325B">
          <w:rPr>
            <w:rStyle w:val="Hyperlink"/>
            <w:b/>
            <w:bCs/>
          </w:rPr>
          <w:t>Government AI Policy: Outcome Maturity, Calibration, and Threshold Governance in Credit Decisions</w:t>
        </w:r>
      </w:hyperlink>
    </w:p>
    <w:p w14:paraId="4DF67826" w14:textId="77777777" w:rsidR="00590E31" w:rsidRDefault="0022325B" w:rsidP="0022325B">
      <w:pPr>
        <w:rPr>
          <w:b/>
          <w:bCs/>
        </w:rPr>
      </w:pPr>
      <w:r w:rsidRPr="0022325B">
        <w:rPr>
          <w:b/>
          <w:bCs/>
        </w:rPr>
        <w:t>Review</w:t>
      </w:r>
      <w:r w:rsidR="00590E31">
        <w:rPr>
          <w:b/>
          <w:bCs/>
        </w:rPr>
        <w:t>-2</w:t>
      </w:r>
    </w:p>
    <w:p w14:paraId="35A34CD1" w14:textId="7384EFF5" w:rsidR="0022325B" w:rsidRPr="0022325B" w:rsidRDefault="0022325B" w:rsidP="0022325B">
      <w:r w:rsidRPr="0022325B">
        <w:rPr>
          <w:b/>
          <w:bCs/>
        </w:rPr>
        <w:t>:</w:t>
      </w:r>
      <w:r w:rsidRPr="0022325B">
        <w:t xml:space="preserve"> The paper addresses whether the governance of AI credit models should attach to the full decision system rather than to aggregate discrimination metrics. The framing good and the restraint shown in declining to draw a directional stress claim from 641 observations is appropriate. However, the empirical core contains contradictions that must be resolved. Section 3.2 and Proposition P1 state that the test ROC-AUC intervals overlap. Table 2 shows otherwise. The logistic interval is [0.6752, 0.6771]. The </w:t>
      </w:r>
      <w:proofErr w:type="spellStart"/>
      <w:r w:rsidRPr="0022325B">
        <w:t>HistGB</w:t>
      </w:r>
      <w:proofErr w:type="spellEnd"/>
      <w:r w:rsidRPr="0022325B">
        <w:t xml:space="preserve"> interval is [0.6674, 0.6738]. These are disjoint. The main weakness of the paper is that several of its conclusions are not supported by the results shown. The paper says that the three model families cannot be clearly distinguished out of time, but the intervals in the model comparison table do not support this conclusion. Based on the reported numbers, the simpler linear model appears to perform better than the more complex models. This would be a stronger and more interesting finding than the one currently presented. There are also several inconsistencies in the results. The figure showing the relationship between the threshold and missed defaults does not match the corresponding table. The discussion of the slice audit also refers to a structure, a point estimate, and a null value that do not match the table. This looks like text from an earlier analysis that was not updated. The paragraph should be rewritten to match the results </w:t>
      </w:r>
      <w:proofErr w:type="gramStart"/>
      <w:r w:rsidRPr="0022325B">
        <w:t>actually reported</w:t>
      </w:r>
      <w:proofErr w:type="gramEnd"/>
      <w:r w:rsidRPr="0022325B">
        <w:t>. The table showing the effect of the maturity rule is also difficult to reconcile with the rule described in the paper. If terminal status makes a loan mature, then the mature group should include all observed defaults. However, this does not appear to be the case. The authors should provide the exact status mapping and show how the reported numbers were obtained. A more fundamental concern is that the paper's main finding may be caused by the study design rather than by the model itself. The test period is short compared with the loan terms, so loans issued during this period cannot normally reach their contractual maturity within the observation window. As a result, maturity in the test set is mainly determined by early termination. This means the evaluation sample is largely made up of early defaults and early payoffs, so the analysis is effectively conditioned on the outcome it is trying to predict.</w:t>
      </w:r>
    </w:p>
    <w:p w14:paraId="54C6BF72" w14:textId="77777777" w:rsidR="0022325B" w:rsidRPr="0022325B" w:rsidRDefault="0022325B" w:rsidP="0022325B">
      <w:r w:rsidRPr="0022325B">
        <w:rPr>
          <w:b/>
          <w:bCs/>
        </w:rPr>
        <w:t>Rating:</w:t>
      </w:r>
      <w:r w:rsidRPr="0022325B">
        <w:t xml:space="preserve"> 6</w:t>
      </w:r>
    </w:p>
    <w:p w14:paraId="67AB6A3A" w14:textId="77777777" w:rsidR="0022325B" w:rsidRPr="0022325B" w:rsidRDefault="0022325B" w:rsidP="0022325B">
      <w:r w:rsidRPr="0022325B">
        <w:rPr>
          <w:b/>
          <w:bCs/>
        </w:rPr>
        <w:t>Confidence:</w:t>
      </w:r>
      <w:r w:rsidRPr="0022325B">
        <w:t xml:space="preserve"> 3</w:t>
      </w:r>
    </w:p>
    <w:p w14:paraId="36172FE7" w14:textId="77777777" w:rsidR="0022325B" w:rsidRPr="0022325B" w:rsidRDefault="0022325B" w:rsidP="0022325B">
      <w:pPr>
        <w:numPr>
          <w:ilvl w:val="0"/>
          <w:numId w:val="1"/>
        </w:numPr>
      </w:pPr>
      <w:proofErr w:type="spellStart"/>
      <w:r w:rsidRPr="0022325B">
        <w:rPr>
          <w:i/>
          <w:iCs/>
        </w:rPr>
        <w:t>NeurIPS</w:t>
      </w:r>
      <w:proofErr w:type="spellEnd"/>
      <w:r w:rsidRPr="0022325B">
        <w:rPr>
          <w:i/>
          <w:iCs/>
        </w:rPr>
        <w:t xml:space="preserve"> 2026 Workshop </w:t>
      </w:r>
      <w:proofErr w:type="spellStart"/>
      <w:r w:rsidRPr="0022325B">
        <w:rPr>
          <w:i/>
          <w:iCs/>
        </w:rPr>
        <w:t>MusIML</w:t>
      </w:r>
      <w:proofErr w:type="spellEnd"/>
      <w:r w:rsidRPr="0022325B">
        <w:rPr>
          <w:i/>
          <w:iCs/>
        </w:rPr>
        <w:t xml:space="preserve"> Submission66 Reviewer 8Cx5</w:t>
      </w:r>
      <w:r w:rsidRPr="0022325B">
        <w:t xml:space="preserve"> added a new </w:t>
      </w:r>
      <w:proofErr w:type="spellStart"/>
      <w:proofErr w:type="gramStart"/>
      <w:r w:rsidRPr="0022325B">
        <w:t>a</w:t>
      </w:r>
      <w:proofErr w:type="spellEnd"/>
      <w:proofErr w:type="gramEnd"/>
      <w:r w:rsidRPr="0022325B">
        <w:t xml:space="preserve"> Official Review edit</w:t>
      </w:r>
    </w:p>
    <w:p w14:paraId="32957BEC" w14:textId="77777777" w:rsidR="0022325B" w:rsidRPr="0022325B" w:rsidRDefault="0022325B" w:rsidP="0022325B">
      <w:r w:rsidRPr="0022325B">
        <w:t xml:space="preserve">× </w:t>
      </w:r>
      <w:proofErr w:type="gramStart"/>
      <w:r w:rsidRPr="0022325B">
        <w:t>4  •</w:t>
      </w:r>
      <w:proofErr w:type="gramEnd"/>
      <w:r w:rsidRPr="0022325B">
        <w:t xml:space="preserve">  20 days ago</w:t>
      </w:r>
    </w:p>
    <w:p w14:paraId="2BBFDFC2" w14:textId="77777777" w:rsidR="0022325B" w:rsidRPr="0022325B" w:rsidRDefault="0022325B" w:rsidP="0022325B">
      <w:pPr>
        <w:rPr>
          <w:b/>
          <w:bCs/>
        </w:rPr>
      </w:pPr>
      <w:hyperlink r:id="rId6" w:history="1">
        <w:r w:rsidRPr="0022325B">
          <w:rPr>
            <w:rStyle w:val="Hyperlink"/>
            <w:b/>
            <w:bCs/>
          </w:rPr>
          <w:t>Government AI Policy: Outcome Maturity, Calibration, and Threshold Governance in Credit Decisions</w:t>
        </w:r>
      </w:hyperlink>
    </w:p>
    <w:p w14:paraId="18CC6C54" w14:textId="77777777" w:rsidR="00590E31" w:rsidRDefault="0022325B" w:rsidP="0022325B">
      <w:pPr>
        <w:rPr>
          <w:b/>
          <w:bCs/>
        </w:rPr>
      </w:pPr>
      <w:r w:rsidRPr="0022325B">
        <w:rPr>
          <w:b/>
          <w:bCs/>
        </w:rPr>
        <w:t>Review</w:t>
      </w:r>
      <w:r w:rsidR="00590E31">
        <w:rPr>
          <w:b/>
          <w:bCs/>
        </w:rPr>
        <w:t>er-3</w:t>
      </w:r>
    </w:p>
    <w:p w14:paraId="7AF7D2D7" w14:textId="37B79498" w:rsidR="0022325B" w:rsidRPr="0022325B" w:rsidRDefault="0022325B" w:rsidP="0022325B">
      <w:r w:rsidRPr="0022325B">
        <w:rPr>
          <w:b/>
          <w:bCs/>
        </w:rPr>
        <w:t>:</w:t>
      </w:r>
      <w:r w:rsidRPr="0022325B">
        <w:t xml:space="preserve"> The paper addresses an important question. It asks whether the governance of AI credit models should attach to the full decision system rather than to aggregate discrimination metrics. The framing is sound and the restraint shown in declining to draw a directional stress claim from 641 observations is appropriate. However, the empirical core contains contradictions that must be resolved. Section 3.2 and Proposition P1 state that the test ROC-AUC intervals overlap. Table 2 shows otherwise. The logistic interval is [0.6752, 0.6771]. The </w:t>
      </w:r>
      <w:proofErr w:type="spellStart"/>
      <w:r w:rsidRPr="0022325B">
        <w:t>HistGB</w:t>
      </w:r>
      <w:proofErr w:type="spellEnd"/>
      <w:r w:rsidRPr="0022325B">
        <w:t xml:space="preserve"> interval is [0.6674, 0.6738]. These are disjoint. The paper's principal weakness is that several of its conclusions are not supported by the evidence it presents. The text asserts that the three model families cannot be distinguished out of time, but the intervals reported in the model comparison table do not sustain that reading. On the authors' own numbers, the simpler linear benchmark appears to outperform the higher-capacity alternatives, which is a stronger and more interesting claim than the one advanced. Similarly, the figure describing the relationship between threshold and missed defaults contradicts the corresponding table, and the discussion of the slice audit describes a structure, a point estimate, and a null value that do not correspond to the table it accompanies. That paragraph appears to be unrevised text from an earlier analysis and should be rewritten against the results </w:t>
      </w:r>
      <w:proofErr w:type="gramStart"/>
      <w:r w:rsidRPr="0022325B">
        <w:t>actually reported</w:t>
      </w:r>
      <w:proofErr w:type="gramEnd"/>
      <w:r w:rsidRPr="0022325B">
        <w:t>. The table documenting the effect of the maturity rule is also difficult to reconcile with the rule as defined: if terminal status confers maturity, the mature cohort should contain all observed defaults, and it evidently does not. The authors should supply the exact status mapping and a reconciliation. A deeper concern is that the paper's most emphasised finding may be a consequence of its design rather than a property of the model. The test window is short relative to the contractual terms of the loans it contains, so no loan originated in that window can reach term within the observation period. Maturity in the test cohort is therefore conferred almost entirely by early termination, which means the evaluation sample consists of early defaults and early payoffs and is conditioned on the outcome being predicted.</w:t>
      </w:r>
    </w:p>
    <w:p w14:paraId="1060793F" w14:textId="77777777" w:rsidR="0022325B" w:rsidRPr="0022325B" w:rsidRDefault="0022325B" w:rsidP="0022325B">
      <w:r w:rsidRPr="0022325B">
        <w:rPr>
          <w:b/>
          <w:bCs/>
        </w:rPr>
        <w:t>Rating:</w:t>
      </w:r>
      <w:r w:rsidRPr="0022325B">
        <w:t xml:space="preserve"> 6</w:t>
      </w:r>
    </w:p>
    <w:p w14:paraId="6018122B" w14:textId="77777777" w:rsidR="0022325B" w:rsidRPr="0022325B" w:rsidRDefault="0022325B" w:rsidP="0022325B">
      <w:r w:rsidRPr="0022325B">
        <w:rPr>
          <w:b/>
          <w:bCs/>
        </w:rPr>
        <w:t>Confidence:</w:t>
      </w:r>
      <w:r w:rsidRPr="0022325B">
        <w:t xml:space="preserve"> 3</w:t>
      </w:r>
    </w:p>
    <w:p w14:paraId="41F4626A" w14:textId="77777777" w:rsidR="00E969A0" w:rsidRDefault="00E969A0"/>
    <w:sectPr w:rsidR="00E96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B2C70"/>
    <w:multiLevelType w:val="multilevel"/>
    <w:tmpl w:val="050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53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D3F"/>
    <w:rsid w:val="0022325B"/>
    <w:rsid w:val="0037070C"/>
    <w:rsid w:val="00590E31"/>
    <w:rsid w:val="006E4791"/>
    <w:rsid w:val="006F0D3F"/>
    <w:rsid w:val="00C67AD0"/>
    <w:rsid w:val="00E969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29F1F"/>
  <w15:chartTrackingRefBased/>
  <w15:docId w15:val="{D42960EE-5841-4D45-8A41-EECE55E84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D3F"/>
    <w:rPr>
      <w:rFonts w:eastAsiaTheme="majorEastAsia" w:cstheme="majorBidi"/>
      <w:color w:val="272727" w:themeColor="text1" w:themeTint="D8"/>
    </w:rPr>
  </w:style>
  <w:style w:type="paragraph" w:styleId="Title">
    <w:name w:val="Title"/>
    <w:basedOn w:val="Normal"/>
    <w:next w:val="Normal"/>
    <w:link w:val="TitleChar"/>
    <w:uiPriority w:val="10"/>
    <w:qFormat/>
    <w:rsid w:val="006F0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D3F"/>
    <w:pPr>
      <w:spacing w:before="160"/>
      <w:jc w:val="center"/>
    </w:pPr>
    <w:rPr>
      <w:i/>
      <w:iCs/>
      <w:color w:val="404040" w:themeColor="text1" w:themeTint="BF"/>
    </w:rPr>
  </w:style>
  <w:style w:type="character" w:customStyle="1" w:styleId="QuoteChar">
    <w:name w:val="Quote Char"/>
    <w:basedOn w:val="DefaultParagraphFont"/>
    <w:link w:val="Quote"/>
    <w:uiPriority w:val="29"/>
    <w:rsid w:val="006F0D3F"/>
    <w:rPr>
      <w:i/>
      <w:iCs/>
      <w:color w:val="404040" w:themeColor="text1" w:themeTint="BF"/>
    </w:rPr>
  </w:style>
  <w:style w:type="paragraph" w:styleId="ListParagraph">
    <w:name w:val="List Paragraph"/>
    <w:basedOn w:val="Normal"/>
    <w:uiPriority w:val="34"/>
    <w:qFormat/>
    <w:rsid w:val="006F0D3F"/>
    <w:pPr>
      <w:ind w:left="720"/>
      <w:contextualSpacing/>
    </w:pPr>
  </w:style>
  <w:style w:type="character" w:styleId="IntenseEmphasis">
    <w:name w:val="Intense Emphasis"/>
    <w:basedOn w:val="DefaultParagraphFont"/>
    <w:uiPriority w:val="21"/>
    <w:qFormat/>
    <w:rsid w:val="006F0D3F"/>
    <w:rPr>
      <w:i/>
      <w:iCs/>
      <w:color w:val="0F4761" w:themeColor="accent1" w:themeShade="BF"/>
    </w:rPr>
  </w:style>
  <w:style w:type="paragraph" w:styleId="IntenseQuote">
    <w:name w:val="Intense Quote"/>
    <w:basedOn w:val="Normal"/>
    <w:next w:val="Normal"/>
    <w:link w:val="IntenseQuoteChar"/>
    <w:uiPriority w:val="30"/>
    <w:qFormat/>
    <w:rsid w:val="006F0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D3F"/>
    <w:rPr>
      <w:i/>
      <w:iCs/>
      <w:color w:val="0F4761" w:themeColor="accent1" w:themeShade="BF"/>
    </w:rPr>
  </w:style>
  <w:style w:type="character" w:styleId="IntenseReference">
    <w:name w:val="Intense Reference"/>
    <w:basedOn w:val="DefaultParagraphFont"/>
    <w:uiPriority w:val="32"/>
    <w:qFormat/>
    <w:rsid w:val="006F0D3F"/>
    <w:rPr>
      <w:b/>
      <w:bCs/>
      <w:smallCaps/>
      <w:color w:val="0F4761" w:themeColor="accent1" w:themeShade="BF"/>
      <w:spacing w:val="5"/>
    </w:rPr>
  </w:style>
  <w:style w:type="character" w:styleId="Hyperlink">
    <w:name w:val="Hyperlink"/>
    <w:basedOn w:val="DefaultParagraphFont"/>
    <w:uiPriority w:val="99"/>
    <w:unhideWhenUsed/>
    <w:rsid w:val="0022325B"/>
    <w:rPr>
      <w:color w:val="467886" w:themeColor="hyperlink"/>
      <w:u w:val="single"/>
    </w:rPr>
  </w:style>
  <w:style w:type="character" w:styleId="UnresolvedMention">
    <w:name w:val="Unresolved Mention"/>
    <w:basedOn w:val="DefaultParagraphFont"/>
    <w:uiPriority w:val="99"/>
    <w:semiHidden/>
    <w:unhideWhenUsed/>
    <w:rsid w:val="00223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review.net/forum?id=2sLKNPD6Zw&amp;noteId=fCJRptCSwQ" TargetMode="External"/><Relationship Id="rId5" Type="http://schemas.openxmlformats.org/officeDocument/2006/relationships/hyperlink" Target="https://openreview.net/forum?id=2sLKNPD6Zw&amp;noteId=fCJRptCSw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282</TotalTime>
  <Pages>5</Pages>
  <Words>2223</Words>
  <Characters>12673</Characters>
  <Application>Microsoft Office Word</Application>
  <DocSecurity>0</DocSecurity>
  <Lines>105</Lines>
  <Paragraphs>29</Paragraphs>
  <ScaleCrop>false</ScaleCrop>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Abu Sufian</dc:creator>
  <cp:keywords/>
  <dc:description/>
  <cp:lastModifiedBy>Md Abu Sufian</cp:lastModifiedBy>
  <cp:revision>4</cp:revision>
  <dcterms:created xsi:type="dcterms:W3CDTF">2026-10-10T13:19:00Z</dcterms:created>
  <dcterms:modified xsi:type="dcterms:W3CDTF">2026-10-10T18:01:00Z</dcterms:modified>
</cp:coreProperties>
</file>