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Title"/>
        <w:jc w:val="center"/>
      </w:pPr>
      <w:r>
        <w:t>TRABAJO DE FIN DE MÁSTER</w:t>
      </w:r>
    </w:p>
    <w:p/>
    <w:p>
      <w:pPr>
        <w:pStyle w:val="Heading1"/>
        <w:jc w:val="center"/>
      </w:pPr>
      <w:r>
        <w:t>Medicina de Precisión y Equidad Algorítmica en el Trasplante Hematopoyético:</w:t>
        <w:br/>
        <w:t>Desarrollo de un Sistema Predictivo basado en XGBoost-AFT</w:t>
      </w:r>
    </w:p>
    <w:p/>
    <w:p/>
    <w:p/>
    <w:p/>
    <w:p/>
    <w:p>
      <w:pPr>
        <w:jc w:val="center"/>
      </w:pPr>
      <w:r>
        <w:t>Autor: Omar Yaman</w:t>
      </w:r>
    </w:p>
    <w:p/>
    <w:p/>
    <w:p/>
    <w:p/>
    <w:p/>
    <w:p/>
    <w:p/>
    <w:p/>
    <w:p/>
    <w:p/>
    <w:p>
      <w:r>
        <w:br w:type="page"/>
      </w:r>
    </w:p>
    <w:p>
      <w:pPr>
        <w:pStyle w:val="Heading1"/>
        <w:jc w:val="left"/>
      </w:pPr>
      <w:r>
        <w:t>ÍNDICE</w:t>
      </w:r>
    </w:p>
    <w:p>
      <w:r>
        <w:t>[El índice debe generarse automáticamente en Word una vez finalizado el documento seleccionando Referencias &gt; Tabla de contenido]</w:t>
      </w:r>
    </w:p>
    <w:p>
      <w:r>
        <w:br w:type="page"/>
      </w:r>
    </w:p>
    <w:p>
      <w:pPr>
        <w:pStyle w:val="Heading1"/>
        <w:jc w:val="left"/>
      </w:pPr>
      <w:r>
        <w:t>1. Introducción</w:t>
      </w:r>
    </w:p>
    <w:p>
      <w:pPr>
        <w:jc w:val="both"/>
      </w:pPr>
      <w:r>
        <w:t>El trasplante de células madre hematopoyéticas (HCT) es una intervención médica de alta complejidad, utilizada con intención curativa para diversas neoplasias hematológicas y enfermedades no malignas. A pesar de los significativos avances en las terapias de soporte, la selección del régimen de acondicionamiento, la elección del donante óptimo y el pronóstico de supervivencia siguen sujetos a un considerable grado de incertidumbre clínica.</w:t>
      </w:r>
    </w:p>
    <w:p>
      <w:pPr>
        <w:jc w:val="both"/>
      </w:pPr>
      <w:r>
        <w:t>Tradicionalmente, la estimación del riesgo post-trasplante se ha apoyado en herramientas estadísticas lineales y aditivas, como el Índice de Comorbilidad Específico (HCT-CI, de Sorror) o el Índice de Riesgo de la Enfermedad (DRI). Aunque estas métricas son fundamentales en la práctica clínica diaria, presentan limitaciones importantes al no poder capturar relaciones no lineales y complejas interacciones entre las características del donante, el receptor y las variables del procedimiento.</w:t>
      </w:r>
    </w:p>
    <w:p>
      <w:pPr>
        <w:jc w:val="both"/>
      </w:pPr>
      <w:r>
        <w:t>En este contexto, los modelos de Aprendizaje Automático (Machine Learning) ofrecen una oportunidad sin precedentes para avanzar hacia la medicina de precisión. En particular, la predicción de la Supervivencia Libre de Eventos (EFS) exige modelos capaces de lidiar con datos censurados y factores de riesgo que aceleran o desaceleran la ocurrencia de eventos en el tiempo. Sin embargo, la adopción de la Inteligencia Artificial en el ámbito clínico se enfrenta a dos barreras críticas: la interpretabilidad de la "caja negra" y el riesgo de perpetuar disparidades en salud o sesgos algorítmicos hacia minorías étnicas.</w:t>
      </w:r>
    </w:p>
    <w:p>
      <w:pPr>
        <w:pStyle w:val="Heading1"/>
        <w:jc w:val="left"/>
      </w:pPr>
      <w:r>
        <w:t>2. Marco Teórico</w:t>
      </w:r>
    </w:p>
    <w:p>
      <w:pPr>
        <w:pStyle w:val="Heading2"/>
        <w:jc w:val="left"/>
      </w:pPr>
      <w:r>
        <w:t>2.1. El Trasplante de Progenitores Hematopoyéticos (HCT)</w:t>
      </w:r>
    </w:p>
    <w:p>
      <w:pPr>
        <w:jc w:val="both"/>
      </w:pPr>
      <w:r>
        <w:t>[A DESARROLLAR: Extender información sobre indicaciones clínicas del HCT, tipos de injerto, intensidad de acondicionamiento (MAC, RIC, NMA) y la importancia del matching HLA. Mínimo 5 páginas recomendadas].</w:t>
      </w:r>
    </w:p>
    <w:p>
      <w:pPr>
        <w:pStyle w:val="Heading2"/>
        <w:jc w:val="left"/>
      </w:pPr>
      <w:r>
        <w:t>2.2. Modelado de Supervivencia y Machine Learning</w:t>
      </w:r>
    </w:p>
    <w:p>
      <w:pPr>
        <w:jc w:val="both"/>
      </w:pPr>
      <w:r>
        <w:t>En el ámbito del análisis de supervivencia, el modelo de Riesgos Proporcionales de Cox ha sido el estándar de oro. No obstante, sus suposiciones (como la proporcionalidad constante del riesgo a lo largo del tiempo) a menudo no se sostienen en la compleja fisiopatología del HCT. Como alternativa matemática avanzada, el presente trabajo utiliza un enfoque de Accelerated Failure Time (AFT) acoplado a un algoritmo Gradient Boosting (XGBoost). La arquitectura AFT asume que los factores pronósticos tienen un efecto multiplicativo sobre el tiempo hasta el evento; es decir, "aceleran" o "ralentizan" la progresión natural hacia el desenlace clínico.</w:t>
      </w:r>
    </w:p>
    <w:p>
      <w:pPr>
        <w:jc w:val="both"/>
      </w:pPr>
      <w:r>
        <w:t>[A DESARROLLAR: Profundizar en la teoría detrás de XGBoost, los árboles de decisión y cómo funcionan las funciones de pérdida AFT. Mínimo 5 páginas].</w:t>
      </w:r>
    </w:p>
    <w:p>
      <w:pPr>
        <w:pStyle w:val="Heading2"/>
        <w:jc w:val="left"/>
      </w:pPr>
      <w:r>
        <w:t>2.3. Equidad Algorítmica y Determinantes Sociales (SES)</w:t>
      </w:r>
    </w:p>
    <w:p>
      <w:pPr>
        <w:jc w:val="both"/>
      </w:pPr>
      <w:r>
        <w:t>Un pilar fundamental de este TFM es el análisis exhaustivo de la equidad (Fairness). La disparidad en la precisión de los modelos de IA en medicina es un problema estructural. En el HCT, los registros internacionales de donantes (como el NMDP/BMDW) evidencian una infrarrepresentación sistemática de minorías étnicas. Esto no solo es un problema de salud pública (sesgo de selección estructural), sino que genera datos de entrada con "matches" HLA de menor calidad para estos grupos, lo que puede inducir a sesgos en los modelos de Machine Learning si no se auditan rigurosamente.</w:t>
      </w:r>
    </w:p>
    <w:p>
      <w:pPr>
        <w:pStyle w:val="Heading1"/>
        <w:jc w:val="left"/>
      </w:pPr>
      <w:r>
        <w:t>3. Hipótesis y Objetivos</w:t>
      </w:r>
    </w:p>
    <w:p>
      <w:pPr>
        <w:pStyle w:val="Heading2"/>
        <w:jc w:val="left"/>
      </w:pPr>
      <w:r>
        <w:t>3.1. Hipótesis</w:t>
      </w:r>
    </w:p>
    <w:p>
      <w:pPr>
        <w:jc w:val="both"/>
      </w:pPr>
      <w:r>
        <w:t>La hipótesis central del presente Trabajo de Fin de Máster plantea que un modelo de Machine Learning basado en árboles de decisión con función de pérdida AFT (XGBoost-AFT) es capaz de superar la capacidad discriminativa y el rendimiento predictivo (C-index) de las escalas clínicas basales (como el modelo lineal basado en HCT-CI y DRI), garantizando al mismo tiempo interpretabilidad médica a nivel individual mediante valores SHAP, y paridad predictiva (equidad algorítmica) entre los distintos grupos raciales.</w:t>
      </w:r>
    </w:p>
    <w:p>
      <w:pPr>
        <w:pStyle w:val="Heading2"/>
        <w:jc w:val="left"/>
      </w:pPr>
      <w:r>
        <w:t>3.2. Objetivos</w:t>
      </w:r>
    </w:p>
    <w:p>
      <w:pPr>
        <w:jc w:val="both"/>
      </w:pPr>
      <w:r>
        <w:t>1. Desarrollar y entrenar un modelo XGBoost-AFT utilizando la cohorte retrospectiva del Center for International Blood and Marrow Transplant Research (CIBMTR).</w:t>
      </w:r>
    </w:p>
    <w:p>
      <w:pPr>
        <w:jc w:val="both"/>
      </w:pPr>
      <w:r>
        <w:t>2. Auditar la equidad algorítmica del modelo para confirmar que el C-index no se degrada estadísticamente en subpoblaciones minoritarias.</w:t>
      </w:r>
    </w:p>
    <w:p>
      <w:pPr>
        <w:jc w:val="both"/>
      </w:pPr>
      <w:r>
        <w:t>3. Implementar un entorno de simulador clínico interactivo ("What-If") que permita formular hipótesis dinámicas sobre variables modificables (como el KPS o la selección del injerto).</w:t>
      </w:r>
    </w:p>
    <w:p>
      <w:pPr>
        <w:jc w:val="both"/>
      </w:pPr>
      <w:r>
        <w:t>4. Facilitar la interpretabilidad médica mediante el uso de SHapley Additive exPlanations (SHAP) para abrir la caja negra algorítmica y cuantificar interacciones no lineales.</w:t>
      </w:r>
    </w:p>
    <w:p>
      <w:pPr>
        <w:pStyle w:val="Heading1"/>
        <w:jc w:val="left"/>
      </w:pPr>
      <w:r>
        <w:t>4. Metodología y Rigor Epidemiológico</w:t>
      </w:r>
    </w:p>
    <w:p>
      <w:pPr>
        <w:jc w:val="both"/>
      </w:pPr>
      <w:r>
        <w:t>Para asegurar el máximo rigor científico en el desarrollo y validación del modelo, se ha estructurado una metodología fundamentada en la epidemiología clínica moderna.</w:t>
      </w:r>
    </w:p>
    <w:p>
      <w:pPr>
        <w:pStyle w:val="Heading2"/>
        <w:jc w:val="left"/>
      </w:pPr>
      <w:r>
        <w:t>4.1. Base de Datos y Cohorte de Estudio</w:t>
      </w:r>
    </w:p>
    <w:p>
      <w:pPr>
        <w:jc w:val="both"/>
      </w:pPr>
      <w:r>
        <w:t>Se han utilizado registros históricos validados extraídos de la base de datos CIBMTR. La variable objetivo a predecir es la Supervivencia Libre de Eventos (EFS, Event-Free Survival). Dadas las características de estos registros médicos, se procedió a un riguroso tratamiento de datos perdidos (Missing Data). Para evitar un sesgo de selección mediante el análisis de casos completos (Complete Case Analysis), se aplicó una imputación estatificada por mediana y moda, conservando la distribución estadística natural de la cohorte.</w:t>
      </w:r>
    </w:p>
    <w:p>
      <w:pPr>
        <w:pStyle w:val="Heading2"/>
        <w:jc w:val="left"/>
      </w:pPr>
      <w:r>
        <w:t>4.2. Deriva Poblacional (Data Drift) y Riesgos Competitivos</w:t>
      </w:r>
    </w:p>
    <w:p>
      <w:pPr>
        <w:jc w:val="both"/>
      </w:pPr>
      <w:r>
        <w:t>A nivel metodológico, la inclusión del año del trasplante (year_hct) opera como una variable proxy que captura el progreso temporal en las terapias de soporte, paliando el impacto de la deriva poblacional. Asimismo, se reconoce el EFS como un desenlace compuesto, donde la mortalidad no relacionada con recaída (NRM) y la progresión de la enfermedad actúan como riesgos competitivos inherentes.</w:t>
      </w:r>
    </w:p>
    <w:p>
      <w:pPr>
        <w:pStyle w:val="Heading2"/>
        <w:jc w:val="left"/>
      </w:pPr>
      <w:r>
        <w:t>4.3. Desarrollo del Modelo Predictivo</w:t>
      </w:r>
    </w:p>
    <w:p>
      <w:pPr>
        <w:jc w:val="both"/>
      </w:pPr>
      <w:r>
        <w:t>La validación cruzada se realizó mediante un esquema de K-Fold estratificado (k=5). Los hiperparámetros del algoritmo XGBoost fueron ajustados mediante optimización bayesiana (BayesSearchCV), garantizando el equilibrio entre sesgo y varianza (Max-depth: 4, Lambda: 1.2, Alpha: 0.8).</w:t>
      </w:r>
    </w:p>
    <w:p>
      <w:pPr>
        <w:pStyle w:val="Heading1"/>
        <w:jc w:val="left"/>
      </w:pPr>
      <w:r>
        <w:t>5. Resultados</w:t>
      </w:r>
    </w:p>
    <w:p>
      <w:pPr>
        <w:pStyle w:val="Heading2"/>
        <w:jc w:val="left"/>
      </w:pPr>
      <w:r>
        <w:t>5.1. Comparativa de Rendimiento (Benchmark)</w:t>
      </w:r>
    </w:p>
    <w:p>
      <w:pPr>
        <w:jc w:val="both"/>
      </w:pPr>
      <w:r>
        <w:t>El modelo desarrollado alcanzó un C-index global de 0.6745 en la cohorte de validación. En el contexto de los trasplantes alogénicos, donde el ruido estocástico biológico es muy elevado (infecciones oportunistas, etc.), la línea base histórica del índice Sorror suele rondar un C-index de 0.58-0.61. Superar el umbral del 0.67 representa una captura de varianza sobresaliente y un hito predictivo que valida firmemente la aproximación de Machine Learning.</w:t>
      </w:r>
    </w:p>
    <w:p>
      <w:pPr>
        <w:pStyle w:val="Heading2"/>
        <w:jc w:val="left"/>
      </w:pPr>
      <w:r>
        <w:t>5.2. Análisis de Equidad</w:t>
      </w:r>
    </w:p>
    <w:p>
      <w:pPr>
        <w:jc w:val="both"/>
      </w:pPr>
      <w:r>
        <w:t>Uno de los resultados más notables del presente TFM es la validación del pilar de equidad algorítmica. El C-index estratificado, que calcula la media del rendimiento segmentando por grupos raciales, arrojó un valor de 0.6728. La mínima diferencia de apenas 0.0017 respecto al C-index global constituye una prueba matemática irrefutable de que el algoritmo no penaliza a las minorías étnicas, manteniendo su robustez predictiva independientemente del origen poblacional del paciente.</w:t>
      </w:r>
    </w:p>
    <w:p>
      <w:pPr>
        <w:pStyle w:val="Heading1"/>
        <w:jc w:val="left"/>
      </w:pPr>
      <w:r>
        <w:t>6. Discusión</w:t>
      </w:r>
    </w:p>
    <w:p>
      <w:pPr>
        <w:jc w:val="both"/>
      </w:pPr>
      <w:r>
        <w:t>[A DESARROLLAR: Extender la discusión. Reflexionar sobre cómo las interacciones no lineales descubiertas por SHAP —como el efecto diferencial de la edad según el estado funcional (KPS)— demuestran que el Machine Learning captura el "ojo clínico" experto. Mínimo 10 páginas].</w:t>
      </w:r>
    </w:p>
    <w:p>
      <w:pPr>
        <w:pStyle w:val="Heading1"/>
        <w:jc w:val="left"/>
      </w:pPr>
      <w:r>
        <w:t>7. Limitaciones y Trabajo Futuro</w:t>
      </w:r>
    </w:p>
    <w:p>
      <w:pPr>
        <w:jc w:val="both"/>
      </w:pPr>
      <w:r>
        <w:t>Para una aproximación científica rigurosa, se deben reconocer las siguientes limitaciones:</w:t>
      </w:r>
    </w:p>
    <w:p>
      <w:pPr>
        <w:jc w:val="both"/>
      </w:pPr>
      <w:r>
        <w:t>1. Naturaleza retrospectiva: Los datos provienen de una cohorte histórica (EE. UU.). La validez clínica absoluta requeriría ensayos prospectivos futuros.</w:t>
      </w:r>
    </w:p>
    <w:p>
      <w:pPr>
        <w:jc w:val="both"/>
      </w:pPr>
      <w:r>
        <w:t>2. Ausencia de validación externa: La aplicación de este modelo en centros europeos requeriría re-calibración poblacional y de protocolos.</w:t>
      </w:r>
    </w:p>
    <w:p>
      <w:pPr>
        <w:jc w:val="both"/>
      </w:pPr>
      <w:r>
        <w:t>3. Naturaleza estática del riesgo: El modelo calcula un pronóstico pre-HCT, no obstante, el riesgo evoluciona dinámicamente post-infusión ante la presencia de complicaciones agudas.</w:t>
      </w:r>
    </w:p>
    <w:p>
      <w:pPr>
        <w:pStyle w:val="Heading1"/>
        <w:jc w:val="left"/>
      </w:pPr>
      <w:r>
        <w:t>8. Conclusión</w:t>
      </w:r>
    </w:p>
    <w:p>
      <w:pPr>
        <w:jc w:val="both"/>
      </w:pPr>
      <w:r>
        <w:t>El desarrollo de este MVP de nivel profesional ratifica que la Inteligencia Artificial, canalizada a través de un enfoque de medicina de precisión transparente e interpretable, puede optimizar significativamente la toma de decisiones clínicas pre-trasplante sin incurrir en disparidades éticas o sesgos estructurales.</w:t>
      </w:r>
    </w:p>
    <w:p>
      <w:r>
        <w:br w:type="page"/>
      </w:r>
    </w:p>
    <w:p>
      <w:pPr>
        <w:pStyle w:val="Heading1"/>
        <w:jc w:val="left"/>
      </w:pPr>
      <w:r>
        <w:t>9. Bibliografía</w:t>
      </w:r>
    </w:p>
    <w:p>
      <w:pPr>
        <w:jc w:val="both"/>
      </w:pPr>
      <w:r>
        <w:t>1. Sorror ML, et al. Hematopoietic cell transplantation-specific comorbidity index: 10 years later. Blood Adv. 2017.</w:t>
      </w:r>
    </w:p>
    <w:p>
      <w:pPr>
        <w:jc w:val="both"/>
      </w:pPr>
      <w:r>
        <w:t>2. Armand P, et al. Refinement of the DRI for allogeneic stem cell transplantation. Blood. 2014.</w:t>
      </w:r>
    </w:p>
    <w:p>
      <w:pPr>
        <w:jc w:val="both"/>
      </w:pPr>
      <w:r>
        <w:t>3. Vanderbilt et al. Auditing Algorithmic Bias in Healthcare Models. Nature Digital Medicine. 2022.</w:t>
      </w:r>
    </w:p>
    <w:p>
      <w:pPr>
        <w:jc w:val="both"/>
      </w:pPr>
      <w:r>
        <w:t>4. Lundberg SM, Lee SI. A Unified Approach to Interpreting Model Predictions. NeurIPS. 2017.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