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Override PartName="/word/theme/themeOverride2.xml" ContentType="application/vnd.openxmlformats-officedocument.themeOverride+xml"/>
  <Override PartName="/word/comments.xml" ContentType="application/vnd.openxmlformats-officedocument.wordprocessingml.comment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080" w:rsidRDefault="00FF5080" w:rsidP="00C814A2">
      <w:pPr>
        <w:pStyle w:val="Sinespaciado"/>
        <w:jc w:val="both"/>
        <w:rPr>
          <w:rFonts w:asciiTheme="majorHAnsi" w:eastAsiaTheme="majorEastAsia" w:hAnsiTheme="majorHAnsi" w:cstheme="majorBidi"/>
          <w:b/>
          <w:color w:val="000000" w:themeColor="text1"/>
          <w:sz w:val="28"/>
          <w:szCs w:val="36"/>
        </w:rPr>
      </w:pPr>
      <w:bookmarkStart w:id="0" w:name="_Toc487124539"/>
      <w:bookmarkStart w:id="1" w:name="_Toc519496648"/>
    </w:p>
    <w:p w:rsidR="00FA4319" w:rsidRDefault="00FA4319" w:rsidP="00C814A2">
      <w:pPr>
        <w:pStyle w:val="Sinespaciado"/>
        <w:jc w:val="both"/>
        <w:rPr>
          <w:rFonts w:asciiTheme="majorHAnsi" w:eastAsiaTheme="majorEastAsia" w:hAnsiTheme="majorHAnsi" w:cstheme="majorBidi"/>
          <w:b/>
          <w:color w:val="000000" w:themeColor="text1"/>
          <w:sz w:val="28"/>
          <w:szCs w:val="36"/>
        </w:rPr>
      </w:pPr>
    </w:p>
    <w:p w:rsidR="00FA4319" w:rsidRDefault="00FA4319" w:rsidP="00C814A2">
      <w:pPr>
        <w:pStyle w:val="Sinespaciado"/>
        <w:jc w:val="both"/>
        <w:rPr>
          <w:rFonts w:asciiTheme="majorHAnsi" w:eastAsiaTheme="majorEastAsia" w:hAnsiTheme="majorHAnsi" w:cstheme="majorBidi"/>
          <w:b/>
          <w:color w:val="000000" w:themeColor="text1"/>
          <w:sz w:val="28"/>
          <w:szCs w:val="36"/>
        </w:rPr>
      </w:pPr>
    </w:p>
    <w:p w:rsidR="00FA4319" w:rsidRDefault="00FA4319" w:rsidP="00C814A2">
      <w:pPr>
        <w:pStyle w:val="Sinespaciado"/>
        <w:jc w:val="both"/>
        <w:rPr>
          <w:rFonts w:asciiTheme="majorHAnsi" w:eastAsiaTheme="majorEastAsia" w:hAnsiTheme="majorHAnsi" w:cstheme="majorBidi"/>
          <w:b/>
          <w:color w:val="000000" w:themeColor="text1"/>
          <w:sz w:val="28"/>
          <w:szCs w:val="36"/>
        </w:rPr>
      </w:pPr>
    </w:p>
    <w:p w:rsidR="00B208ED" w:rsidRDefault="00B208ED" w:rsidP="00C814A2">
      <w:pPr>
        <w:pStyle w:val="Sinespaciado"/>
        <w:jc w:val="both"/>
        <w:rPr>
          <w:rFonts w:asciiTheme="majorHAnsi" w:eastAsiaTheme="majorEastAsia" w:hAnsiTheme="majorHAnsi" w:cstheme="majorBidi"/>
          <w:b/>
          <w:color w:val="000000" w:themeColor="text1"/>
          <w:sz w:val="28"/>
          <w:szCs w:val="36"/>
        </w:rPr>
      </w:pPr>
    </w:p>
    <w:p w:rsidR="00B208ED" w:rsidRDefault="00B208ED" w:rsidP="00C814A2">
      <w:pPr>
        <w:pStyle w:val="Sinespaciado"/>
        <w:jc w:val="both"/>
        <w:rPr>
          <w:rFonts w:asciiTheme="majorHAnsi" w:eastAsiaTheme="majorEastAsia" w:hAnsiTheme="majorHAnsi" w:cstheme="majorBidi"/>
          <w:b/>
          <w:color w:val="000000" w:themeColor="text1"/>
          <w:sz w:val="28"/>
          <w:szCs w:val="36"/>
        </w:rPr>
      </w:pPr>
    </w:p>
    <w:p w:rsidR="00FA4319" w:rsidRPr="00C905E7" w:rsidRDefault="00FA4319" w:rsidP="00FA4319">
      <w:pPr>
        <w:spacing w:after="0"/>
        <w:jc w:val="center"/>
        <w:rPr>
          <w:rFonts w:asciiTheme="majorHAnsi" w:hAnsiTheme="majorHAnsi" w:cs="Aharoni"/>
          <w:b/>
          <w:sz w:val="28"/>
        </w:rPr>
      </w:pPr>
      <w:r w:rsidRPr="00C905E7">
        <w:rPr>
          <w:rFonts w:asciiTheme="majorHAnsi" w:hAnsiTheme="majorHAnsi" w:cs="Aharoni"/>
          <w:b/>
          <w:sz w:val="28"/>
        </w:rPr>
        <w:t xml:space="preserve">Monitor Ciudadano de la </w:t>
      </w:r>
      <w:r w:rsidR="00FE5795">
        <w:rPr>
          <w:rFonts w:asciiTheme="majorHAnsi" w:hAnsiTheme="majorHAnsi" w:cs="Aharoni"/>
          <w:b/>
          <w:sz w:val="28"/>
        </w:rPr>
        <w:t>C</w:t>
      </w:r>
      <w:r w:rsidRPr="00C905E7">
        <w:rPr>
          <w:rFonts w:asciiTheme="majorHAnsi" w:hAnsiTheme="majorHAnsi" w:cs="Aharoni"/>
          <w:b/>
          <w:sz w:val="28"/>
        </w:rPr>
        <w:t xml:space="preserve">orrupción </w:t>
      </w:r>
    </w:p>
    <w:p w:rsidR="00FA4319" w:rsidRDefault="00FA4319" w:rsidP="00B208ED">
      <w:pPr>
        <w:pStyle w:val="Ttulo"/>
        <w:jc w:val="center"/>
        <w:rPr>
          <w:color w:val="000000" w:themeColor="text1"/>
          <w:sz w:val="48"/>
          <w:szCs w:val="48"/>
        </w:rPr>
      </w:pPr>
    </w:p>
    <w:p w:rsidR="00FA4319" w:rsidRDefault="00FA4319" w:rsidP="00FA4319">
      <w:pPr>
        <w:spacing w:after="0" w:line="240" w:lineRule="auto"/>
        <w:jc w:val="center"/>
        <w:rPr>
          <w:rFonts w:asciiTheme="majorHAnsi" w:hAnsiTheme="majorHAnsi" w:cs="Aharoni"/>
          <w:b/>
          <w:sz w:val="28"/>
        </w:rPr>
      </w:pPr>
    </w:p>
    <w:p w:rsidR="00FA4319" w:rsidRDefault="00FA4319" w:rsidP="00FA4319">
      <w:pPr>
        <w:spacing w:after="0" w:line="240" w:lineRule="auto"/>
        <w:jc w:val="center"/>
        <w:rPr>
          <w:rFonts w:asciiTheme="majorHAnsi" w:hAnsiTheme="majorHAnsi" w:cs="Aharoni"/>
          <w:b/>
          <w:sz w:val="28"/>
        </w:rPr>
      </w:pPr>
    </w:p>
    <w:p w:rsidR="00FA4319" w:rsidRDefault="00FA4319" w:rsidP="00FA4319">
      <w:pPr>
        <w:spacing w:after="0" w:line="240" w:lineRule="auto"/>
        <w:jc w:val="center"/>
        <w:rPr>
          <w:rFonts w:asciiTheme="majorHAnsi" w:hAnsiTheme="majorHAnsi" w:cs="Aharoni"/>
          <w:b/>
          <w:sz w:val="28"/>
        </w:rPr>
      </w:pPr>
    </w:p>
    <w:p w:rsidR="00FA4319" w:rsidRDefault="00FA4319" w:rsidP="00FA4319">
      <w:pPr>
        <w:spacing w:after="0" w:line="240" w:lineRule="auto"/>
        <w:jc w:val="center"/>
        <w:rPr>
          <w:rFonts w:asciiTheme="majorHAnsi" w:hAnsiTheme="majorHAnsi" w:cs="Aharoni"/>
          <w:b/>
          <w:sz w:val="28"/>
        </w:rPr>
      </w:pPr>
    </w:p>
    <w:p w:rsidR="00FA4319" w:rsidRDefault="00FA4319" w:rsidP="00FA4319">
      <w:pPr>
        <w:spacing w:after="0" w:line="240" w:lineRule="auto"/>
        <w:jc w:val="center"/>
        <w:rPr>
          <w:rFonts w:asciiTheme="majorHAnsi" w:hAnsiTheme="majorHAnsi" w:cs="Aharoni"/>
          <w:b/>
          <w:sz w:val="28"/>
        </w:rPr>
      </w:pPr>
    </w:p>
    <w:p w:rsidR="00FA4319" w:rsidRDefault="00FA4319" w:rsidP="00FA4319">
      <w:pPr>
        <w:spacing w:after="0" w:line="240" w:lineRule="auto"/>
        <w:jc w:val="center"/>
        <w:rPr>
          <w:rFonts w:asciiTheme="majorHAnsi" w:hAnsiTheme="majorHAnsi" w:cs="Aharoni"/>
          <w:b/>
          <w:sz w:val="28"/>
        </w:rPr>
      </w:pPr>
    </w:p>
    <w:p w:rsidR="00FA4319" w:rsidRPr="00FA4319" w:rsidRDefault="00FA4319" w:rsidP="00FA4319">
      <w:pPr>
        <w:spacing w:after="0" w:line="240" w:lineRule="auto"/>
        <w:jc w:val="center"/>
        <w:rPr>
          <w:rFonts w:asciiTheme="majorHAnsi" w:hAnsiTheme="majorHAnsi" w:cs="Aharoni"/>
          <w:b/>
          <w:sz w:val="28"/>
        </w:rPr>
      </w:pPr>
      <w:r w:rsidRPr="00FA4319">
        <w:rPr>
          <w:rFonts w:asciiTheme="majorHAnsi" w:hAnsiTheme="majorHAnsi" w:cs="Aharoni"/>
          <w:b/>
          <w:sz w:val="28"/>
        </w:rPr>
        <w:t>Radiografía de hechos de corrupción en Colombia: 2016-2018</w:t>
      </w:r>
    </w:p>
    <w:p w:rsidR="00B208ED" w:rsidRDefault="00FA4319" w:rsidP="00FA4319">
      <w:pPr>
        <w:jc w:val="center"/>
        <w:rPr>
          <w:rFonts w:asciiTheme="majorHAnsi" w:hAnsiTheme="majorHAnsi" w:cs="Aharoni"/>
          <w:b/>
          <w:sz w:val="28"/>
        </w:rPr>
      </w:pPr>
      <w:r w:rsidRPr="00FA4319">
        <w:rPr>
          <w:rFonts w:asciiTheme="majorHAnsi" w:hAnsiTheme="majorHAnsi" w:cs="Aharoni"/>
          <w:b/>
          <w:sz w:val="28"/>
        </w:rPr>
        <w:t xml:space="preserve">Sistematización del registro </w:t>
      </w:r>
      <w:r w:rsidRPr="00E65BF5">
        <w:rPr>
          <w:rFonts w:asciiTheme="majorHAnsi" w:hAnsiTheme="majorHAnsi" w:cs="Aharoni"/>
          <w:b/>
          <w:sz w:val="28"/>
        </w:rPr>
        <w:t>periodístico</w:t>
      </w:r>
      <w:r w:rsidRPr="00FA4319">
        <w:rPr>
          <w:rFonts w:asciiTheme="majorHAnsi" w:hAnsiTheme="majorHAnsi" w:cs="Aharoni"/>
          <w:b/>
          <w:sz w:val="28"/>
        </w:rPr>
        <w:t xml:space="preserve"> sobre la corrupción</w:t>
      </w:r>
    </w:p>
    <w:p w:rsidR="00FA4319" w:rsidRDefault="00FA4319" w:rsidP="00FA4319">
      <w:pPr>
        <w:jc w:val="center"/>
        <w:rPr>
          <w:rFonts w:asciiTheme="majorHAnsi" w:hAnsiTheme="majorHAnsi" w:cs="Aharoni"/>
          <w:b/>
          <w:sz w:val="28"/>
        </w:rPr>
      </w:pPr>
    </w:p>
    <w:p w:rsidR="00FA4319" w:rsidRDefault="00011A4D" w:rsidP="00FA4319">
      <w:pPr>
        <w:jc w:val="center"/>
        <w:rPr>
          <w:rFonts w:asciiTheme="majorHAnsi" w:hAnsiTheme="majorHAnsi" w:cs="Aharoni"/>
          <w:b/>
          <w:sz w:val="28"/>
        </w:rPr>
      </w:pPr>
      <w:r>
        <w:rPr>
          <w:rFonts w:asciiTheme="majorHAnsi" w:hAnsiTheme="majorHAnsi" w:cs="Aharoni"/>
          <w:b/>
          <w:sz w:val="28"/>
        </w:rPr>
        <w:t xml:space="preserve">Segundo </w:t>
      </w:r>
      <w:r w:rsidR="00FA4319">
        <w:rPr>
          <w:rFonts w:asciiTheme="majorHAnsi" w:hAnsiTheme="majorHAnsi" w:cs="Aharoni"/>
          <w:b/>
          <w:sz w:val="28"/>
        </w:rPr>
        <w:t>Informe</w:t>
      </w:r>
    </w:p>
    <w:p w:rsidR="00011A4D" w:rsidRPr="00FA4319" w:rsidRDefault="00011A4D" w:rsidP="00FA4319">
      <w:pPr>
        <w:jc w:val="center"/>
        <w:rPr>
          <w:sz w:val="24"/>
        </w:rPr>
      </w:pPr>
    </w:p>
    <w:p w:rsidR="00B208ED" w:rsidRDefault="00B208ED" w:rsidP="00B208ED"/>
    <w:p w:rsidR="00B208ED" w:rsidRDefault="00B208ED" w:rsidP="00B208ED">
      <w:pPr>
        <w:jc w:val="center"/>
      </w:pPr>
    </w:p>
    <w:p w:rsidR="00B208ED" w:rsidRDefault="00B208ED" w:rsidP="00B208ED">
      <w:pPr>
        <w:jc w:val="center"/>
        <w:rPr>
          <w:rFonts w:asciiTheme="majorHAnsi" w:eastAsiaTheme="majorEastAsia" w:hAnsiTheme="majorHAnsi" w:cstheme="majorBidi"/>
          <w:color w:val="000000" w:themeColor="text1"/>
          <w:spacing w:val="-15"/>
          <w:sz w:val="44"/>
          <w:szCs w:val="48"/>
        </w:rPr>
      </w:pPr>
    </w:p>
    <w:p w:rsidR="00B208ED" w:rsidRDefault="00B208ED" w:rsidP="00B208ED"/>
    <w:p w:rsidR="00B208ED" w:rsidRDefault="00B208ED" w:rsidP="00B208ED"/>
    <w:p w:rsidR="00B208ED" w:rsidRDefault="00B208ED" w:rsidP="00B208ED">
      <w:pPr>
        <w:pStyle w:val="Sinespaciado"/>
      </w:pPr>
    </w:p>
    <w:p w:rsidR="00DD305F" w:rsidRDefault="00DD305F" w:rsidP="00B208ED">
      <w:pPr>
        <w:pStyle w:val="Sinespaciado"/>
      </w:pPr>
    </w:p>
    <w:p w:rsidR="00DD305F" w:rsidRDefault="00DD305F" w:rsidP="00B208ED">
      <w:pPr>
        <w:pStyle w:val="Sinespaciado"/>
      </w:pPr>
    </w:p>
    <w:p w:rsidR="00DD305F" w:rsidRDefault="00DD305F" w:rsidP="00B208ED">
      <w:pPr>
        <w:pStyle w:val="Sinespaciado"/>
      </w:pPr>
    </w:p>
    <w:p w:rsidR="00DD305F" w:rsidRDefault="00DD305F" w:rsidP="00B208ED">
      <w:pPr>
        <w:pStyle w:val="Sinespaciado"/>
      </w:pPr>
    </w:p>
    <w:p w:rsidR="00DD305F" w:rsidRDefault="00DD305F" w:rsidP="00B208ED">
      <w:pPr>
        <w:pStyle w:val="Sinespaciado"/>
      </w:pPr>
    </w:p>
    <w:p w:rsidR="00DD305F" w:rsidRDefault="00DD305F" w:rsidP="00B208ED">
      <w:pPr>
        <w:pStyle w:val="Sinespaciado"/>
      </w:pPr>
    </w:p>
    <w:p w:rsidR="00DD305F" w:rsidRDefault="00DD305F" w:rsidP="00B208ED">
      <w:pPr>
        <w:pStyle w:val="Sinespaciado"/>
      </w:pPr>
    </w:p>
    <w:p w:rsidR="00DD305F" w:rsidRDefault="00DD305F" w:rsidP="00B208ED">
      <w:pPr>
        <w:pStyle w:val="Sinespaciado"/>
      </w:pPr>
    </w:p>
    <w:p w:rsidR="00DD305F" w:rsidRDefault="00DD305F" w:rsidP="00B208ED">
      <w:pPr>
        <w:pStyle w:val="Sinespaciado"/>
      </w:pPr>
    </w:p>
    <w:p w:rsidR="00DD305F" w:rsidRPr="000E2095" w:rsidRDefault="00DD305F" w:rsidP="00B208ED">
      <w:pPr>
        <w:pStyle w:val="Sinespaciado"/>
      </w:pPr>
    </w:p>
    <w:p w:rsidR="00A544C3" w:rsidRPr="00FA4319" w:rsidRDefault="00FA4319" w:rsidP="00FA4319">
      <w:pPr>
        <w:spacing w:after="0" w:line="240" w:lineRule="auto"/>
        <w:rPr>
          <w:i/>
          <w:sz w:val="20"/>
        </w:rPr>
      </w:pPr>
      <w:r w:rsidRPr="00FA4319">
        <w:rPr>
          <w:rFonts w:asciiTheme="majorHAnsi" w:hAnsiTheme="majorHAnsi" w:cs="Aharoni"/>
          <w:i/>
        </w:rPr>
        <w:lastRenderedPageBreak/>
        <w:t xml:space="preserve">Radiografía de hechos de corrupción en Colombia: 2016-2018. Sistematización del registro </w:t>
      </w:r>
      <w:r w:rsidRPr="00E65BF5">
        <w:rPr>
          <w:rFonts w:asciiTheme="majorHAnsi" w:hAnsiTheme="majorHAnsi" w:cs="Aharoni"/>
          <w:i/>
        </w:rPr>
        <w:t>periodístico</w:t>
      </w:r>
      <w:r w:rsidRPr="00FA4319">
        <w:rPr>
          <w:rFonts w:asciiTheme="majorHAnsi" w:hAnsiTheme="majorHAnsi" w:cs="Aharoni"/>
          <w:i/>
        </w:rPr>
        <w:t xml:space="preserve"> sobre la corrupción</w:t>
      </w:r>
      <w:r>
        <w:rPr>
          <w:rFonts w:asciiTheme="majorHAnsi" w:hAnsiTheme="majorHAnsi" w:cs="Aharoni"/>
          <w:i/>
        </w:rPr>
        <w:t>.</w:t>
      </w:r>
      <w:r w:rsidR="00486595">
        <w:rPr>
          <w:rFonts w:asciiTheme="majorHAnsi" w:hAnsiTheme="majorHAnsi" w:cs="Aharoni"/>
          <w:i/>
        </w:rPr>
        <w:t xml:space="preserve"> Segundo</w:t>
      </w:r>
      <w:r>
        <w:rPr>
          <w:rFonts w:asciiTheme="majorHAnsi" w:hAnsiTheme="majorHAnsi" w:cs="Aharoni"/>
          <w:i/>
        </w:rPr>
        <w:t xml:space="preserve"> Informe</w:t>
      </w:r>
    </w:p>
    <w:p w:rsidR="00A544C3" w:rsidRPr="0035466F" w:rsidRDefault="00A544C3" w:rsidP="0035466F">
      <w:pPr>
        <w:pStyle w:val="Sinespaciado"/>
      </w:pPr>
    </w:p>
    <w:p w:rsidR="00A544C3" w:rsidRPr="0035466F" w:rsidRDefault="00A544C3" w:rsidP="0035466F">
      <w:pPr>
        <w:pStyle w:val="Sinespaciado"/>
      </w:pPr>
      <w:r w:rsidRPr="0035466F">
        <w:t xml:space="preserve">Corporación Transparencia por Colombia </w:t>
      </w:r>
    </w:p>
    <w:p w:rsidR="00A544C3" w:rsidRDefault="00A544C3" w:rsidP="00A544C3">
      <w:pPr>
        <w:pStyle w:val="Sinespaciado"/>
        <w:rPr>
          <w:rFonts w:eastAsiaTheme="minorHAnsi"/>
        </w:rPr>
      </w:pPr>
    </w:p>
    <w:p w:rsidR="00A544C3" w:rsidRPr="00A544C3" w:rsidRDefault="00A544C3" w:rsidP="00A544C3">
      <w:pPr>
        <w:pStyle w:val="Sinespaciado"/>
        <w:rPr>
          <w:rFonts w:eastAsiaTheme="minorHAnsi"/>
          <w:b/>
        </w:rPr>
      </w:pPr>
      <w:r w:rsidRPr="00A544C3">
        <w:rPr>
          <w:rFonts w:eastAsiaTheme="minorHAnsi"/>
          <w:b/>
        </w:rPr>
        <w:t xml:space="preserve">Junta Directiva </w:t>
      </w:r>
    </w:p>
    <w:p w:rsidR="00A544C3" w:rsidRDefault="00A544C3" w:rsidP="00A544C3">
      <w:pPr>
        <w:pStyle w:val="Sinespaciado"/>
        <w:rPr>
          <w:rFonts w:eastAsiaTheme="minorHAnsi"/>
        </w:rPr>
      </w:pPr>
    </w:p>
    <w:p w:rsidR="00D04DCC" w:rsidRDefault="00D04DCC" w:rsidP="00A544C3">
      <w:pPr>
        <w:pStyle w:val="Sinespaciado"/>
        <w:rPr>
          <w:rFonts w:eastAsiaTheme="minorHAnsi"/>
        </w:rPr>
      </w:pPr>
      <w:r>
        <w:rPr>
          <w:rFonts w:eastAsiaTheme="minorHAnsi"/>
        </w:rPr>
        <w:t>Rosa Inés Ospina Robledo</w:t>
      </w:r>
    </w:p>
    <w:p w:rsidR="00D04DCC" w:rsidRDefault="00D04DCC" w:rsidP="00A544C3">
      <w:pPr>
        <w:pStyle w:val="Sinespaciado"/>
        <w:rPr>
          <w:rFonts w:eastAsiaTheme="minorHAnsi"/>
        </w:rPr>
      </w:pPr>
      <w:r>
        <w:rPr>
          <w:rFonts w:eastAsiaTheme="minorHAnsi"/>
        </w:rPr>
        <w:t>Eulalia Arboleda de Montes</w:t>
      </w:r>
    </w:p>
    <w:p w:rsidR="00D04DCC" w:rsidRDefault="00D04DCC" w:rsidP="00A544C3">
      <w:pPr>
        <w:pStyle w:val="Sinespaciado"/>
        <w:rPr>
          <w:rFonts w:eastAsiaTheme="minorHAnsi"/>
        </w:rPr>
      </w:pPr>
      <w:r>
        <w:rPr>
          <w:rFonts w:eastAsiaTheme="minorHAnsi"/>
        </w:rPr>
        <w:t xml:space="preserve">Janet Bonilla Torres </w:t>
      </w:r>
    </w:p>
    <w:p w:rsidR="00D04DCC" w:rsidRDefault="00D04DCC" w:rsidP="00A544C3">
      <w:pPr>
        <w:pStyle w:val="Sinespaciado"/>
        <w:rPr>
          <w:rFonts w:eastAsiaTheme="minorHAnsi"/>
        </w:rPr>
      </w:pPr>
      <w:r>
        <w:rPr>
          <w:rFonts w:eastAsiaTheme="minorHAnsi"/>
        </w:rPr>
        <w:t>Néstor Rodríguez Ardila</w:t>
      </w:r>
    </w:p>
    <w:p w:rsidR="00D04DCC" w:rsidRDefault="00D04DCC" w:rsidP="00A544C3">
      <w:pPr>
        <w:pStyle w:val="Sinespaciado"/>
        <w:rPr>
          <w:rFonts w:eastAsiaTheme="minorHAnsi"/>
        </w:rPr>
      </w:pPr>
      <w:r>
        <w:rPr>
          <w:rFonts w:eastAsiaTheme="minorHAnsi"/>
        </w:rPr>
        <w:t>Bernardo Rodríguez Ossa</w:t>
      </w:r>
    </w:p>
    <w:p w:rsidR="00D04DCC" w:rsidRDefault="00D04DCC" w:rsidP="00A544C3">
      <w:pPr>
        <w:pStyle w:val="Sinespaciado"/>
        <w:rPr>
          <w:rFonts w:eastAsiaTheme="minorHAnsi"/>
        </w:rPr>
      </w:pPr>
      <w:r>
        <w:rPr>
          <w:rFonts w:eastAsiaTheme="minorHAnsi"/>
        </w:rPr>
        <w:t>Daniel Ricardo Uribe Parra</w:t>
      </w:r>
    </w:p>
    <w:p w:rsidR="00D04DCC" w:rsidRDefault="00D04DCC" w:rsidP="00A544C3">
      <w:pPr>
        <w:pStyle w:val="Sinespaciado"/>
        <w:rPr>
          <w:rFonts w:eastAsiaTheme="minorHAnsi"/>
        </w:rPr>
      </w:pPr>
      <w:r>
        <w:rPr>
          <w:rFonts w:eastAsiaTheme="minorHAnsi"/>
        </w:rPr>
        <w:t>Eduardo Wills Herrera</w:t>
      </w:r>
    </w:p>
    <w:p w:rsidR="00D04DCC" w:rsidRDefault="00D04DCC" w:rsidP="00A544C3">
      <w:pPr>
        <w:pStyle w:val="Sinespaciado"/>
        <w:rPr>
          <w:rFonts w:eastAsiaTheme="minorHAnsi"/>
        </w:rPr>
      </w:pPr>
    </w:p>
    <w:p w:rsidR="00A544C3" w:rsidRPr="00A544C3" w:rsidRDefault="00A544C3" w:rsidP="00A544C3">
      <w:pPr>
        <w:pStyle w:val="Sinespaciado"/>
        <w:rPr>
          <w:rFonts w:eastAsiaTheme="minorHAnsi"/>
          <w:b/>
        </w:rPr>
      </w:pPr>
      <w:r w:rsidRPr="00A544C3">
        <w:rPr>
          <w:rFonts w:eastAsiaTheme="minorHAnsi"/>
          <w:b/>
        </w:rPr>
        <w:t xml:space="preserve">Consejo Rector </w:t>
      </w:r>
    </w:p>
    <w:p w:rsidR="00D04DCC" w:rsidRDefault="00D04DCC" w:rsidP="00D04DCC">
      <w:pPr>
        <w:pStyle w:val="Sinespaciado"/>
        <w:rPr>
          <w:rFonts w:eastAsiaTheme="minorHAnsi"/>
        </w:rPr>
      </w:pPr>
      <w:r w:rsidRPr="00D04DCC">
        <w:rPr>
          <w:rFonts w:eastAsiaTheme="minorHAnsi"/>
        </w:rPr>
        <w:t>Carlos Eduardo Angulo Galvis</w:t>
      </w:r>
    </w:p>
    <w:p w:rsidR="00D04DCC" w:rsidRDefault="00D04DCC" w:rsidP="00D04DCC">
      <w:pPr>
        <w:pStyle w:val="Sinespaciado"/>
        <w:rPr>
          <w:rFonts w:eastAsiaTheme="minorHAnsi"/>
        </w:rPr>
      </w:pPr>
      <w:r>
        <w:rPr>
          <w:rFonts w:eastAsiaTheme="minorHAnsi"/>
        </w:rPr>
        <w:t>José Alejandro Cortés Osorio</w:t>
      </w:r>
    </w:p>
    <w:p w:rsidR="00D04DCC" w:rsidRDefault="00D04DCC" w:rsidP="00D04DCC">
      <w:pPr>
        <w:pStyle w:val="Sinespaciado"/>
        <w:rPr>
          <w:rFonts w:eastAsiaTheme="minorHAnsi"/>
        </w:rPr>
      </w:pPr>
      <w:r>
        <w:rPr>
          <w:rFonts w:eastAsiaTheme="minorHAnsi"/>
        </w:rPr>
        <w:t>Andrés Echavarría Olano</w:t>
      </w:r>
    </w:p>
    <w:p w:rsidR="00D04DCC" w:rsidRDefault="00D04DCC" w:rsidP="00D04DCC">
      <w:pPr>
        <w:pStyle w:val="Sinespaciado"/>
        <w:rPr>
          <w:rFonts w:eastAsiaTheme="minorHAnsi"/>
        </w:rPr>
      </w:pPr>
      <w:r>
        <w:rPr>
          <w:rFonts w:eastAsiaTheme="minorHAnsi"/>
        </w:rPr>
        <w:t>Margarita Garrido Otoya</w:t>
      </w:r>
    </w:p>
    <w:p w:rsidR="00D04DCC" w:rsidRDefault="00D04DCC" w:rsidP="00D04DCC">
      <w:pPr>
        <w:pStyle w:val="Sinespaciado"/>
        <w:rPr>
          <w:rFonts w:eastAsiaTheme="minorHAnsi"/>
        </w:rPr>
      </w:pPr>
      <w:r>
        <w:rPr>
          <w:rFonts w:eastAsiaTheme="minorHAnsi"/>
        </w:rPr>
        <w:t xml:space="preserve">Guillermo Carvajalino </w:t>
      </w:r>
      <w:r w:rsidR="00FE5795">
        <w:rPr>
          <w:rFonts w:eastAsiaTheme="minorHAnsi"/>
        </w:rPr>
        <w:t>Sánchez</w:t>
      </w:r>
    </w:p>
    <w:p w:rsidR="00D04DCC" w:rsidRDefault="00D04DCC" w:rsidP="00D04DCC">
      <w:pPr>
        <w:pStyle w:val="Sinespaciado"/>
        <w:rPr>
          <w:rFonts w:eastAsiaTheme="minorHAnsi"/>
        </w:rPr>
      </w:pPr>
      <w:r>
        <w:rPr>
          <w:rFonts w:eastAsiaTheme="minorHAnsi"/>
        </w:rPr>
        <w:t>Rosa Inés Ospina</w:t>
      </w:r>
      <w:r w:rsidR="00FE5795">
        <w:rPr>
          <w:rFonts w:eastAsiaTheme="minorHAnsi"/>
        </w:rPr>
        <w:t xml:space="preserve"> Robledo</w:t>
      </w:r>
    </w:p>
    <w:p w:rsidR="00D04DCC" w:rsidRDefault="00D04DCC" w:rsidP="00A544C3">
      <w:pPr>
        <w:pStyle w:val="Sinespaciado"/>
        <w:rPr>
          <w:rFonts w:eastAsiaTheme="minorHAnsi"/>
        </w:rPr>
      </w:pPr>
    </w:p>
    <w:p w:rsidR="00A544C3" w:rsidRPr="00A544C3" w:rsidRDefault="00A544C3" w:rsidP="00A544C3">
      <w:pPr>
        <w:pStyle w:val="Sinespaciado"/>
        <w:rPr>
          <w:rFonts w:eastAsiaTheme="minorHAnsi"/>
          <w:b/>
        </w:rPr>
      </w:pPr>
      <w:r w:rsidRPr="00A544C3">
        <w:rPr>
          <w:rFonts w:eastAsiaTheme="minorHAnsi"/>
          <w:b/>
        </w:rPr>
        <w:t xml:space="preserve">Director Ejecutivo </w:t>
      </w:r>
    </w:p>
    <w:p w:rsidR="00A544C3" w:rsidRDefault="00A544C3" w:rsidP="00A544C3">
      <w:pPr>
        <w:pStyle w:val="Sinespaciado"/>
        <w:rPr>
          <w:rFonts w:eastAsiaTheme="minorHAnsi"/>
        </w:rPr>
      </w:pPr>
      <w:r w:rsidRPr="00A544C3">
        <w:rPr>
          <w:rFonts w:eastAsiaTheme="minorHAnsi"/>
        </w:rPr>
        <w:t xml:space="preserve">Gerardo Andrés Hernández Montes </w:t>
      </w:r>
    </w:p>
    <w:p w:rsidR="00A544C3" w:rsidRDefault="00A544C3" w:rsidP="00A544C3">
      <w:pPr>
        <w:pStyle w:val="Sinespaciado"/>
        <w:rPr>
          <w:rFonts w:eastAsiaTheme="minorHAnsi"/>
        </w:rPr>
      </w:pPr>
    </w:p>
    <w:p w:rsidR="00A544C3" w:rsidRPr="00A544C3" w:rsidRDefault="00A544C3" w:rsidP="00A544C3">
      <w:pPr>
        <w:pStyle w:val="Sinespaciado"/>
        <w:rPr>
          <w:rFonts w:eastAsiaTheme="minorHAnsi"/>
          <w:b/>
        </w:rPr>
      </w:pPr>
      <w:r w:rsidRPr="00A544C3">
        <w:rPr>
          <w:rFonts w:eastAsiaTheme="minorHAnsi"/>
          <w:b/>
        </w:rPr>
        <w:t xml:space="preserve">Equipo de Investigación </w:t>
      </w:r>
    </w:p>
    <w:p w:rsidR="00A544C3" w:rsidRDefault="00A544C3" w:rsidP="00A544C3">
      <w:pPr>
        <w:pStyle w:val="Sinespaciado"/>
        <w:rPr>
          <w:rFonts w:eastAsiaTheme="minorHAnsi"/>
        </w:rPr>
      </w:pPr>
    </w:p>
    <w:p w:rsidR="00A544C3" w:rsidRPr="00A544C3" w:rsidRDefault="00A544C3" w:rsidP="00A544C3">
      <w:pPr>
        <w:pStyle w:val="Sinespaciado"/>
        <w:rPr>
          <w:rFonts w:eastAsiaTheme="minorHAnsi"/>
          <w:b/>
        </w:rPr>
      </w:pPr>
      <w:r w:rsidRPr="00A544C3">
        <w:rPr>
          <w:rFonts w:eastAsiaTheme="minorHAnsi"/>
          <w:b/>
        </w:rPr>
        <w:t xml:space="preserve">Directora de Gestión del Conocimiento </w:t>
      </w:r>
    </w:p>
    <w:p w:rsidR="00A544C3" w:rsidRDefault="00A544C3" w:rsidP="00A544C3">
      <w:pPr>
        <w:pStyle w:val="Sinespaciado"/>
        <w:rPr>
          <w:rFonts w:eastAsiaTheme="minorHAnsi"/>
        </w:rPr>
      </w:pPr>
      <w:r w:rsidRPr="00A544C3">
        <w:rPr>
          <w:rFonts w:eastAsiaTheme="minorHAnsi"/>
        </w:rPr>
        <w:t xml:space="preserve">Marcela Restrepo Hung </w:t>
      </w:r>
    </w:p>
    <w:p w:rsidR="00ED3536" w:rsidRDefault="00ED3536" w:rsidP="00ED3536">
      <w:pPr>
        <w:pStyle w:val="Sinespaciado"/>
        <w:rPr>
          <w:rFonts w:eastAsiaTheme="minorHAnsi"/>
          <w:b/>
        </w:rPr>
      </w:pPr>
    </w:p>
    <w:p w:rsidR="00ED3536" w:rsidRPr="00ED3536" w:rsidRDefault="00ED3536" w:rsidP="00ED3536">
      <w:pPr>
        <w:pStyle w:val="Sinespaciado"/>
        <w:rPr>
          <w:rFonts w:eastAsiaTheme="minorHAnsi"/>
          <w:b/>
        </w:rPr>
      </w:pPr>
      <w:r w:rsidRPr="00ED3536">
        <w:rPr>
          <w:rFonts w:eastAsiaTheme="minorHAnsi"/>
          <w:b/>
        </w:rPr>
        <w:t>Coordinadora e investigadora del Monitor Ciudadano</w:t>
      </w:r>
    </w:p>
    <w:p w:rsidR="00A544C3" w:rsidRDefault="00A544C3" w:rsidP="00A544C3">
      <w:pPr>
        <w:pStyle w:val="Sinespaciado"/>
        <w:rPr>
          <w:rFonts w:eastAsiaTheme="minorHAnsi"/>
        </w:rPr>
      </w:pPr>
      <w:r w:rsidRPr="00A544C3">
        <w:rPr>
          <w:rFonts w:eastAsiaTheme="minorHAnsi"/>
        </w:rPr>
        <w:t xml:space="preserve"> Ángela María Rodríguez Sánchez</w:t>
      </w:r>
    </w:p>
    <w:p w:rsidR="00ED3536" w:rsidRDefault="00ED3536" w:rsidP="00A544C3">
      <w:pPr>
        <w:pStyle w:val="Sinespaciado"/>
        <w:rPr>
          <w:rFonts w:eastAsiaTheme="minorHAnsi"/>
          <w:b/>
        </w:rPr>
      </w:pPr>
    </w:p>
    <w:p w:rsidR="00A544C3" w:rsidRPr="00ED3536" w:rsidRDefault="00A544C3" w:rsidP="00A544C3">
      <w:pPr>
        <w:pStyle w:val="Sinespaciado"/>
        <w:rPr>
          <w:rFonts w:eastAsiaTheme="minorHAnsi"/>
          <w:b/>
        </w:rPr>
      </w:pPr>
      <w:r w:rsidRPr="00ED3536">
        <w:rPr>
          <w:rFonts w:eastAsiaTheme="minorHAnsi"/>
          <w:b/>
        </w:rPr>
        <w:t>Investigador</w:t>
      </w:r>
      <w:r w:rsidR="00EC3269">
        <w:rPr>
          <w:rFonts w:eastAsiaTheme="minorHAnsi"/>
          <w:b/>
        </w:rPr>
        <w:t>es</w:t>
      </w:r>
      <w:r w:rsidRPr="00ED3536">
        <w:rPr>
          <w:rFonts w:eastAsiaTheme="minorHAnsi"/>
          <w:b/>
        </w:rPr>
        <w:t xml:space="preserve"> </w:t>
      </w:r>
      <w:r w:rsidR="00FA4319">
        <w:rPr>
          <w:rFonts w:eastAsiaTheme="minorHAnsi"/>
          <w:b/>
        </w:rPr>
        <w:t xml:space="preserve">Asistentes </w:t>
      </w:r>
      <w:r w:rsidRPr="00ED3536">
        <w:rPr>
          <w:rFonts w:eastAsiaTheme="minorHAnsi"/>
          <w:b/>
        </w:rPr>
        <w:t>del Monitor Ciudadano</w:t>
      </w:r>
    </w:p>
    <w:p w:rsidR="00ED3536" w:rsidRDefault="00ED3536" w:rsidP="00ED3536">
      <w:pPr>
        <w:pStyle w:val="Sinespaciado"/>
        <w:rPr>
          <w:rFonts w:eastAsiaTheme="minorHAnsi"/>
        </w:rPr>
      </w:pPr>
      <w:r>
        <w:rPr>
          <w:rFonts w:eastAsiaTheme="minorHAnsi"/>
        </w:rPr>
        <w:t xml:space="preserve">Paula Muñoz Gómez </w:t>
      </w:r>
    </w:p>
    <w:p w:rsidR="00ED3536" w:rsidRDefault="00ED3536" w:rsidP="00A544C3">
      <w:pPr>
        <w:pStyle w:val="Sinespaciado"/>
        <w:rPr>
          <w:rFonts w:eastAsiaTheme="minorHAnsi"/>
        </w:rPr>
      </w:pPr>
      <w:r>
        <w:rPr>
          <w:rFonts w:eastAsiaTheme="minorHAnsi"/>
        </w:rPr>
        <w:t xml:space="preserve">Maicol Carrasquilla </w:t>
      </w:r>
    </w:p>
    <w:p w:rsidR="00A544C3" w:rsidRDefault="00A544C3" w:rsidP="00A544C3">
      <w:pPr>
        <w:pStyle w:val="Sinespaciado"/>
        <w:rPr>
          <w:rFonts w:eastAsiaTheme="minorHAnsi"/>
        </w:rPr>
      </w:pPr>
    </w:p>
    <w:p w:rsidR="00A544C3" w:rsidRDefault="00A544C3" w:rsidP="00A544C3">
      <w:pPr>
        <w:pStyle w:val="Sinespaciado"/>
        <w:rPr>
          <w:rFonts w:eastAsiaTheme="minorHAnsi"/>
          <w:b/>
        </w:rPr>
      </w:pPr>
      <w:r w:rsidRPr="00A544C3">
        <w:rPr>
          <w:rFonts w:eastAsiaTheme="minorHAnsi"/>
          <w:b/>
        </w:rPr>
        <w:t xml:space="preserve">Diseño y Diagramación </w:t>
      </w:r>
    </w:p>
    <w:p w:rsidR="00A544C3" w:rsidRDefault="00ED3536" w:rsidP="00A544C3">
      <w:pPr>
        <w:pStyle w:val="Sinespaciado"/>
        <w:rPr>
          <w:rFonts w:eastAsiaTheme="minorHAnsi"/>
          <w:b/>
        </w:rPr>
      </w:pPr>
      <w:r w:rsidRPr="00A544C3">
        <w:rPr>
          <w:rFonts w:eastAsiaTheme="minorHAnsi"/>
        </w:rPr>
        <w:t>Azoma Criterio</w:t>
      </w:r>
      <w:r w:rsidR="00A544C3" w:rsidRPr="00A544C3">
        <w:rPr>
          <w:rFonts w:eastAsiaTheme="minorHAnsi"/>
        </w:rPr>
        <w:t xml:space="preserve"> Editorial </w:t>
      </w:r>
      <w:r>
        <w:rPr>
          <w:rFonts w:eastAsiaTheme="minorHAnsi"/>
        </w:rPr>
        <w:t>LTDA</w:t>
      </w:r>
    </w:p>
    <w:p w:rsidR="00A544C3" w:rsidRPr="00100F0E" w:rsidRDefault="00A544C3" w:rsidP="00A544C3">
      <w:pPr>
        <w:pStyle w:val="Sinespaciado"/>
        <w:rPr>
          <w:b/>
        </w:rPr>
      </w:pPr>
      <w:r w:rsidRPr="00100F0E">
        <w:rPr>
          <w:b/>
        </w:rPr>
        <w:t xml:space="preserve">Corporación Transparencia por Colombia </w:t>
      </w:r>
    </w:p>
    <w:p w:rsidR="00A544C3" w:rsidRDefault="00A544C3" w:rsidP="00A544C3">
      <w:pPr>
        <w:pStyle w:val="Sinespaciado"/>
      </w:pPr>
      <w:r>
        <w:t xml:space="preserve">Twitter: @transparenciaco </w:t>
      </w:r>
    </w:p>
    <w:p w:rsidR="00A544C3" w:rsidRDefault="00A544C3" w:rsidP="00A544C3">
      <w:pPr>
        <w:pStyle w:val="Sinespaciado"/>
      </w:pPr>
      <w:r>
        <w:t xml:space="preserve">Facebook: TransparenciaporColombia </w:t>
      </w:r>
    </w:p>
    <w:p w:rsidR="00A544C3" w:rsidRDefault="00A544C3" w:rsidP="00A544C3">
      <w:pPr>
        <w:pStyle w:val="Sinespaciado"/>
      </w:pPr>
      <w:r>
        <w:t xml:space="preserve">Tel. (57 1) 610 0822 </w:t>
      </w:r>
    </w:p>
    <w:p w:rsidR="00A544C3" w:rsidRDefault="00A544C3" w:rsidP="00A544C3">
      <w:pPr>
        <w:pStyle w:val="Sinespaciado"/>
      </w:pPr>
      <w:r>
        <w:t xml:space="preserve">Carrera 45A n.° 93-61 Bogotá D.C., Colombia </w:t>
      </w:r>
    </w:p>
    <w:p w:rsidR="00BE4892" w:rsidRDefault="00A544C3" w:rsidP="0035466F">
      <w:pPr>
        <w:pStyle w:val="Sinespaciado"/>
      </w:pPr>
      <w:r>
        <w:t>www.transparenciacolombia.org.co</w:t>
      </w:r>
    </w:p>
    <w:p w:rsidR="00C905E7" w:rsidRDefault="00C905E7" w:rsidP="00C939FF">
      <w:pPr>
        <w:pStyle w:val="TDC1"/>
      </w:pPr>
    </w:p>
    <w:p w:rsidR="00C905E7" w:rsidRDefault="00C905E7" w:rsidP="00C939FF">
      <w:pPr>
        <w:pStyle w:val="TDC1"/>
      </w:pPr>
    </w:p>
    <w:p w:rsidR="00C905E7" w:rsidRDefault="00C905E7" w:rsidP="00C905E7">
      <w:pPr>
        <w:jc w:val="center"/>
        <w:rPr>
          <w:rFonts w:asciiTheme="majorHAnsi" w:hAnsiTheme="majorHAnsi" w:cs="Aharoni"/>
          <w:b/>
          <w:sz w:val="28"/>
        </w:rPr>
      </w:pPr>
      <w:r w:rsidRPr="00C905E7">
        <w:rPr>
          <w:rFonts w:asciiTheme="majorHAnsi" w:hAnsiTheme="majorHAnsi" w:cs="Aharoni"/>
          <w:b/>
          <w:sz w:val="28"/>
        </w:rPr>
        <w:t xml:space="preserve">TABLA DE CONTENIDO </w:t>
      </w:r>
    </w:p>
    <w:p w:rsidR="00C905E7" w:rsidRDefault="00C905E7" w:rsidP="00C939FF">
      <w:pPr>
        <w:pStyle w:val="TDC1"/>
      </w:pPr>
    </w:p>
    <w:p w:rsidR="00C905E7" w:rsidRPr="005A27E2" w:rsidRDefault="00C905E7" w:rsidP="00C939FF">
      <w:pPr>
        <w:pStyle w:val="TDC1"/>
        <w:rPr>
          <w:b/>
        </w:rPr>
      </w:pPr>
      <w:r w:rsidRPr="005A27E2">
        <w:rPr>
          <w:b/>
        </w:rPr>
        <w:t>Introducción……………………………………………………………………………………………………</w:t>
      </w:r>
      <w:r w:rsidR="00C939FF" w:rsidRPr="005A27E2">
        <w:rPr>
          <w:b/>
        </w:rPr>
        <w:t>……</w:t>
      </w:r>
      <w:r w:rsidR="006B6EE6">
        <w:rPr>
          <w:b/>
        </w:rPr>
        <w:t>…</w:t>
      </w:r>
      <w:r w:rsidRPr="005A27E2">
        <w:rPr>
          <w:b/>
        </w:rPr>
        <w:t>4</w:t>
      </w:r>
    </w:p>
    <w:p w:rsidR="00C939FF" w:rsidRPr="005A27E2" w:rsidRDefault="00C905E7" w:rsidP="00C939FF">
      <w:pPr>
        <w:pStyle w:val="TDC1"/>
        <w:rPr>
          <w:b/>
        </w:rPr>
      </w:pPr>
      <w:r w:rsidRPr="005A27E2">
        <w:rPr>
          <w:b/>
        </w:rPr>
        <w:t>El Informe  ……………………………………………………………………………………………………</w:t>
      </w:r>
      <w:r w:rsidR="00C939FF" w:rsidRPr="005A27E2">
        <w:rPr>
          <w:b/>
        </w:rPr>
        <w:t>………</w:t>
      </w:r>
      <w:r w:rsidR="006B6EE6">
        <w:rPr>
          <w:b/>
        </w:rPr>
        <w:t>...</w:t>
      </w:r>
      <w:r w:rsidRPr="005A27E2">
        <w:rPr>
          <w:b/>
        </w:rPr>
        <w:t>5</w:t>
      </w:r>
    </w:p>
    <w:p w:rsidR="00C939FF" w:rsidRPr="005A27E2" w:rsidRDefault="00C939FF" w:rsidP="005A27E2">
      <w:pPr>
        <w:pStyle w:val="TDC1"/>
        <w:rPr>
          <w:b/>
        </w:rPr>
      </w:pPr>
    </w:p>
    <w:p w:rsidR="00C939FF" w:rsidRPr="005A27E2" w:rsidRDefault="00C905E7" w:rsidP="005A27E2">
      <w:pPr>
        <w:pStyle w:val="TDC1"/>
        <w:rPr>
          <w:b/>
        </w:rPr>
      </w:pPr>
      <w:r w:rsidRPr="005A27E2">
        <w:rPr>
          <w:b/>
        </w:rPr>
        <w:t>Radiografía de hechos de corrupción en Colombia: 2016-2018.</w:t>
      </w:r>
    </w:p>
    <w:p w:rsidR="00C939FF" w:rsidRPr="005A27E2" w:rsidRDefault="00C905E7" w:rsidP="005A27E2">
      <w:pPr>
        <w:pStyle w:val="TDC1"/>
        <w:rPr>
          <w:b/>
        </w:rPr>
      </w:pPr>
      <w:r w:rsidRPr="005A27E2">
        <w:rPr>
          <w:b/>
        </w:rPr>
        <w:t>Sistematización del registro periodístico sobre la corrupción</w:t>
      </w:r>
    </w:p>
    <w:p w:rsidR="00C905E7" w:rsidRPr="00C939FF" w:rsidRDefault="00C939FF" w:rsidP="00C939FF">
      <w:pPr>
        <w:pStyle w:val="TDC1"/>
      </w:pPr>
      <w:r w:rsidRPr="00C939FF">
        <w:t xml:space="preserve">1. </w:t>
      </w:r>
      <w:r w:rsidR="00C905E7" w:rsidRPr="00C939FF">
        <w:t>Una mirada general ……………………………………………………………………….......</w:t>
      </w:r>
      <w:r w:rsidRPr="00C939FF">
        <w:t>.........................</w:t>
      </w:r>
      <w:r w:rsidR="005A27E2" w:rsidRPr="005A27E2">
        <w:t>...</w:t>
      </w:r>
      <w:r w:rsidR="005A27E2">
        <w:t>..</w:t>
      </w:r>
      <w:r w:rsidR="00C905E7" w:rsidRPr="00C939FF">
        <w:t>8</w:t>
      </w:r>
    </w:p>
    <w:p w:rsidR="00C905E7" w:rsidRPr="00C939FF" w:rsidRDefault="00C939FF" w:rsidP="00C905E7">
      <w:pPr>
        <w:rPr>
          <w:rFonts w:asciiTheme="majorHAnsi" w:eastAsiaTheme="majorEastAsia" w:hAnsiTheme="majorHAnsi" w:cstheme="majorBidi"/>
          <w:color w:val="000000" w:themeColor="text1"/>
          <w:szCs w:val="36"/>
        </w:rPr>
      </w:pPr>
      <w:r w:rsidRPr="00C939FF">
        <w:rPr>
          <w:rFonts w:asciiTheme="majorHAnsi" w:eastAsiaTheme="majorEastAsia" w:hAnsiTheme="majorHAnsi" w:cstheme="majorBidi"/>
          <w:color w:val="000000" w:themeColor="text1"/>
          <w:szCs w:val="36"/>
        </w:rPr>
        <w:t>2. ¿Dónde? Geografía de la corrupción……………………………………………………………………...</w:t>
      </w:r>
      <w:r w:rsidR="005A27E2">
        <w:rPr>
          <w:rFonts w:asciiTheme="majorHAnsi" w:eastAsiaTheme="majorEastAsia" w:hAnsiTheme="majorHAnsi" w:cstheme="majorBidi"/>
          <w:color w:val="000000" w:themeColor="text1"/>
          <w:szCs w:val="36"/>
        </w:rPr>
        <w:t>....</w:t>
      </w:r>
      <w:r w:rsidRPr="00C939FF">
        <w:rPr>
          <w:rFonts w:asciiTheme="majorHAnsi" w:eastAsiaTheme="majorEastAsia" w:hAnsiTheme="majorHAnsi" w:cstheme="majorBidi"/>
          <w:color w:val="000000" w:themeColor="text1"/>
          <w:szCs w:val="36"/>
        </w:rPr>
        <w:t>10</w:t>
      </w:r>
    </w:p>
    <w:p w:rsidR="00C939FF" w:rsidRPr="00C939FF" w:rsidRDefault="00C939FF" w:rsidP="00C905E7">
      <w:pPr>
        <w:rPr>
          <w:rFonts w:asciiTheme="majorHAnsi" w:eastAsiaTheme="majorEastAsia" w:hAnsiTheme="majorHAnsi" w:cstheme="majorBidi"/>
          <w:color w:val="000000" w:themeColor="text1"/>
          <w:szCs w:val="36"/>
        </w:rPr>
      </w:pPr>
      <w:r w:rsidRPr="00C939FF">
        <w:rPr>
          <w:rFonts w:asciiTheme="majorHAnsi" w:eastAsiaTheme="majorEastAsia" w:hAnsiTheme="majorHAnsi" w:cstheme="majorBidi"/>
          <w:color w:val="000000" w:themeColor="text1"/>
          <w:szCs w:val="36"/>
        </w:rPr>
        <w:t>3. ¿Cuáles son los ámbitos de la vida pública más afectados?</w:t>
      </w:r>
      <w:r>
        <w:rPr>
          <w:rFonts w:asciiTheme="majorHAnsi" w:eastAsiaTheme="majorEastAsia" w:hAnsiTheme="majorHAnsi" w:cstheme="majorBidi"/>
          <w:color w:val="000000" w:themeColor="text1"/>
          <w:szCs w:val="36"/>
        </w:rPr>
        <w:t>...................................................</w:t>
      </w:r>
      <w:r w:rsidRPr="00C939FF">
        <w:rPr>
          <w:rFonts w:asciiTheme="majorHAnsi" w:eastAsiaTheme="majorEastAsia" w:hAnsiTheme="majorHAnsi" w:cstheme="majorBidi"/>
          <w:color w:val="000000" w:themeColor="text1"/>
          <w:szCs w:val="36"/>
        </w:rPr>
        <w:t>...</w:t>
      </w:r>
      <w:r w:rsidR="005A27E2">
        <w:rPr>
          <w:rFonts w:asciiTheme="majorHAnsi" w:eastAsiaTheme="majorEastAsia" w:hAnsiTheme="majorHAnsi" w:cstheme="majorBidi"/>
          <w:color w:val="000000" w:themeColor="text1"/>
          <w:szCs w:val="36"/>
        </w:rPr>
        <w:t>...</w:t>
      </w:r>
      <w:r w:rsidR="00202EC1">
        <w:rPr>
          <w:rFonts w:asciiTheme="majorHAnsi" w:eastAsiaTheme="majorEastAsia" w:hAnsiTheme="majorHAnsi" w:cstheme="majorBidi"/>
          <w:color w:val="000000" w:themeColor="text1"/>
          <w:szCs w:val="36"/>
        </w:rPr>
        <w:t>12</w:t>
      </w:r>
    </w:p>
    <w:p w:rsidR="00C939FF" w:rsidRPr="00C939FF" w:rsidRDefault="00C939FF" w:rsidP="00C905E7">
      <w:pPr>
        <w:rPr>
          <w:rFonts w:asciiTheme="majorHAnsi" w:eastAsiaTheme="majorEastAsia" w:hAnsiTheme="majorHAnsi" w:cstheme="majorBidi"/>
          <w:color w:val="000000" w:themeColor="text1"/>
          <w:szCs w:val="36"/>
        </w:rPr>
      </w:pPr>
      <w:r w:rsidRPr="00C939FF">
        <w:rPr>
          <w:rFonts w:asciiTheme="majorHAnsi" w:eastAsiaTheme="majorEastAsia" w:hAnsiTheme="majorHAnsi" w:cstheme="majorBidi"/>
          <w:color w:val="000000" w:themeColor="text1"/>
          <w:szCs w:val="36"/>
        </w:rPr>
        <w:t>3.1 En la Corrupción Administrativa la mitad del botín de oro es la contratación pública……………………………………………………………………………………………………………………</w:t>
      </w:r>
      <w:r w:rsidR="005A27E2">
        <w:rPr>
          <w:rFonts w:asciiTheme="majorHAnsi" w:eastAsiaTheme="majorEastAsia" w:hAnsiTheme="majorHAnsi" w:cstheme="majorBidi"/>
          <w:color w:val="000000" w:themeColor="text1"/>
          <w:szCs w:val="36"/>
        </w:rPr>
        <w:t>...</w:t>
      </w:r>
      <w:r w:rsidR="00202EC1">
        <w:rPr>
          <w:rFonts w:asciiTheme="majorHAnsi" w:eastAsiaTheme="majorEastAsia" w:hAnsiTheme="majorHAnsi" w:cstheme="majorBidi"/>
          <w:color w:val="000000" w:themeColor="text1"/>
          <w:szCs w:val="36"/>
        </w:rPr>
        <w:t>.</w:t>
      </w:r>
      <w:r>
        <w:rPr>
          <w:rFonts w:asciiTheme="majorHAnsi" w:eastAsiaTheme="majorEastAsia" w:hAnsiTheme="majorHAnsi" w:cstheme="majorBidi"/>
          <w:color w:val="000000" w:themeColor="text1"/>
          <w:szCs w:val="36"/>
        </w:rPr>
        <w:t>1</w:t>
      </w:r>
      <w:r w:rsidR="00202EC1">
        <w:rPr>
          <w:rFonts w:asciiTheme="majorHAnsi" w:eastAsiaTheme="majorEastAsia" w:hAnsiTheme="majorHAnsi" w:cstheme="majorBidi"/>
          <w:color w:val="000000" w:themeColor="text1"/>
          <w:szCs w:val="36"/>
        </w:rPr>
        <w:t>4</w:t>
      </w:r>
    </w:p>
    <w:p w:rsidR="00C939FF" w:rsidRDefault="005A27E2" w:rsidP="00C939FF">
      <w:pPr>
        <w:pStyle w:val="Prrafodelista"/>
        <w:numPr>
          <w:ilvl w:val="1"/>
          <w:numId w:val="7"/>
        </w:numPr>
        <w:jc w:val="both"/>
        <w:rPr>
          <w:rFonts w:asciiTheme="majorHAnsi" w:eastAsiaTheme="majorEastAsia" w:hAnsiTheme="majorHAnsi" w:cstheme="majorBidi"/>
          <w:color w:val="000000" w:themeColor="text1"/>
          <w:szCs w:val="36"/>
        </w:rPr>
      </w:pPr>
      <w:r>
        <w:rPr>
          <w:rFonts w:asciiTheme="majorHAnsi" w:eastAsiaTheme="majorEastAsia" w:hAnsiTheme="majorHAnsi" w:cstheme="majorBidi"/>
          <w:color w:val="000000" w:themeColor="text1"/>
          <w:szCs w:val="36"/>
        </w:rPr>
        <w:t>La Corrupción P</w:t>
      </w:r>
      <w:r w:rsidR="00C939FF" w:rsidRPr="00C939FF">
        <w:rPr>
          <w:rFonts w:asciiTheme="majorHAnsi" w:eastAsiaTheme="majorEastAsia" w:hAnsiTheme="majorHAnsi" w:cstheme="majorBidi"/>
          <w:color w:val="000000" w:themeColor="text1"/>
          <w:szCs w:val="36"/>
        </w:rPr>
        <w:t>rivada: cada vez se registra más ……………………………………………</w:t>
      </w:r>
      <w:r w:rsidR="006B6EE6">
        <w:rPr>
          <w:rFonts w:asciiTheme="majorHAnsi" w:eastAsiaTheme="majorEastAsia" w:hAnsiTheme="majorHAnsi" w:cstheme="majorBidi"/>
          <w:color w:val="000000" w:themeColor="text1"/>
          <w:szCs w:val="36"/>
        </w:rPr>
        <w:t>……</w:t>
      </w:r>
      <w:r w:rsidR="00202EC1">
        <w:rPr>
          <w:rFonts w:asciiTheme="majorHAnsi" w:eastAsiaTheme="majorEastAsia" w:hAnsiTheme="majorHAnsi" w:cstheme="majorBidi"/>
          <w:color w:val="000000" w:themeColor="text1"/>
          <w:szCs w:val="36"/>
        </w:rPr>
        <w:t>.16</w:t>
      </w:r>
    </w:p>
    <w:p w:rsidR="00C939FF" w:rsidRDefault="00C939FF" w:rsidP="00C939FF">
      <w:pPr>
        <w:pStyle w:val="Prrafodelista"/>
        <w:numPr>
          <w:ilvl w:val="1"/>
          <w:numId w:val="7"/>
        </w:numPr>
        <w:jc w:val="both"/>
        <w:rPr>
          <w:rFonts w:asciiTheme="majorHAnsi" w:eastAsiaTheme="majorEastAsia" w:hAnsiTheme="majorHAnsi" w:cstheme="majorBidi"/>
          <w:color w:val="000000" w:themeColor="text1"/>
          <w:szCs w:val="36"/>
        </w:rPr>
      </w:pPr>
      <w:r w:rsidRPr="00C939FF">
        <w:rPr>
          <w:rFonts w:asciiTheme="majorHAnsi" w:eastAsiaTheme="majorEastAsia" w:hAnsiTheme="majorHAnsi" w:cstheme="majorBidi"/>
          <w:color w:val="000000" w:themeColor="text1"/>
          <w:szCs w:val="36"/>
        </w:rPr>
        <w:t>Corrupción en la Política: como te financias</w:t>
      </w:r>
      <w:r w:rsidR="00FE5795">
        <w:rPr>
          <w:rFonts w:asciiTheme="majorHAnsi" w:eastAsiaTheme="majorEastAsia" w:hAnsiTheme="majorHAnsi" w:cstheme="majorBidi"/>
          <w:color w:val="000000" w:themeColor="text1"/>
          <w:szCs w:val="36"/>
        </w:rPr>
        <w:t>,</w:t>
      </w:r>
      <w:r w:rsidRPr="00C939FF">
        <w:rPr>
          <w:rFonts w:asciiTheme="majorHAnsi" w:eastAsiaTheme="majorEastAsia" w:hAnsiTheme="majorHAnsi" w:cstheme="majorBidi"/>
          <w:color w:val="000000" w:themeColor="text1"/>
          <w:szCs w:val="36"/>
        </w:rPr>
        <w:t xml:space="preserve"> gobiernas</w:t>
      </w:r>
      <w:r>
        <w:rPr>
          <w:rFonts w:asciiTheme="majorHAnsi" w:eastAsiaTheme="majorEastAsia" w:hAnsiTheme="majorHAnsi" w:cstheme="majorBidi"/>
          <w:color w:val="000000" w:themeColor="text1"/>
          <w:szCs w:val="36"/>
        </w:rPr>
        <w:t>………………</w:t>
      </w:r>
      <w:r w:rsidR="005A27E2">
        <w:rPr>
          <w:rFonts w:asciiTheme="majorHAnsi" w:eastAsiaTheme="majorEastAsia" w:hAnsiTheme="majorHAnsi" w:cstheme="majorBidi"/>
          <w:color w:val="000000" w:themeColor="text1"/>
          <w:szCs w:val="36"/>
        </w:rPr>
        <w:t>..............................</w:t>
      </w:r>
      <w:r w:rsidR="006B6EE6">
        <w:rPr>
          <w:rFonts w:asciiTheme="majorHAnsi" w:eastAsiaTheme="majorEastAsia" w:hAnsiTheme="majorHAnsi" w:cstheme="majorBidi"/>
          <w:color w:val="000000" w:themeColor="text1"/>
          <w:szCs w:val="36"/>
        </w:rPr>
        <w:t>........</w:t>
      </w:r>
      <w:r w:rsidR="00202EC1">
        <w:rPr>
          <w:rFonts w:asciiTheme="majorHAnsi" w:eastAsiaTheme="majorEastAsia" w:hAnsiTheme="majorHAnsi" w:cstheme="majorBidi"/>
          <w:color w:val="000000" w:themeColor="text1"/>
          <w:szCs w:val="36"/>
        </w:rPr>
        <w:t>18</w:t>
      </w:r>
    </w:p>
    <w:p w:rsidR="00C905E7" w:rsidRPr="00C939FF" w:rsidRDefault="00C905E7" w:rsidP="00C939FF">
      <w:pPr>
        <w:jc w:val="both"/>
        <w:rPr>
          <w:rFonts w:asciiTheme="majorHAnsi" w:eastAsiaTheme="majorEastAsia" w:hAnsiTheme="majorHAnsi" w:cstheme="majorBidi"/>
          <w:color w:val="000000" w:themeColor="text1"/>
          <w:szCs w:val="36"/>
        </w:rPr>
      </w:pPr>
      <w:r w:rsidRPr="00C939FF">
        <w:rPr>
          <w:rFonts w:asciiTheme="majorHAnsi" w:eastAsiaTheme="majorEastAsia" w:hAnsiTheme="majorHAnsi" w:cstheme="majorBidi"/>
          <w:color w:val="000000" w:themeColor="text1"/>
          <w:szCs w:val="36"/>
        </w:rPr>
        <w:t>4</w:t>
      </w:r>
      <w:r w:rsidR="00C939FF">
        <w:rPr>
          <w:rFonts w:asciiTheme="majorHAnsi" w:eastAsiaTheme="majorEastAsia" w:hAnsiTheme="majorHAnsi" w:cstheme="majorBidi"/>
          <w:color w:val="000000" w:themeColor="text1"/>
          <w:szCs w:val="36"/>
        </w:rPr>
        <w:t xml:space="preserve"> </w:t>
      </w:r>
      <w:proofErr w:type="gramStart"/>
      <w:r w:rsidR="00C939FF" w:rsidRPr="00C939FF">
        <w:rPr>
          <w:rFonts w:asciiTheme="majorHAnsi" w:eastAsiaTheme="majorEastAsia" w:hAnsiTheme="majorHAnsi" w:cstheme="majorBidi"/>
          <w:color w:val="000000" w:themeColor="text1"/>
          <w:szCs w:val="36"/>
        </w:rPr>
        <w:t>.¿</w:t>
      </w:r>
      <w:proofErr w:type="gramEnd"/>
      <w:r w:rsidR="00C939FF" w:rsidRPr="00C939FF">
        <w:rPr>
          <w:rFonts w:asciiTheme="majorHAnsi" w:eastAsiaTheme="majorEastAsia" w:hAnsiTheme="majorHAnsi" w:cstheme="majorBidi"/>
          <w:color w:val="000000" w:themeColor="text1"/>
          <w:szCs w:val="36"/>
        </w:rPr>
        <w:t>Cuáles son los sectores más afectados por la corrupción?</w:t>
      </w:r>
      <w:r w:rsidR="00C939FF">
        <w:rPr>
          <w:rFonts w:asciiTheme="majorHAnsi" w:eastAsiaTheme="majorEastAsia" w:hAnsiTheme="majorHAnsi" w:cstheme="majorBidi"/>
          <w:color w:val="000000" w:themeColor="text1"/>
          <w:szCs w:val="36"/>
        </w:rPr>
        <w:t>.............................................</w:t>
      </w:r>
      <w:r w:rsidR="005A27E2">
        <w:rPr>
          <w:rFonts w:asciiTheme="majorHAnsi" w:eastAsiaTheme="majorEastAsia" w:hAnsiTheme="majorHAnsi" w:cstheme="majorBidi"/>
          <w:color w:val="000000" w:themeColor="text1"/>
          <w:szCs w:val="36"/>
        </w:rPr>
        <w:t>.</w:t>
      </w:r>
      <w:r w:rsidR="006B6EE6">
        <w:rPr>
          <w:rFonts w:asciiTheme="majorHAnsi" w:eastAsiaTheme="majorEastAsia" w:hAnsiTheme="majorHAnsi" w:cstheme="majorBidi"/>
          <w:color w:val="000000" w:themeColor="text1"/>
          <w:szCs w:val="36"/>
        </w:rPr>
        <w:t>.........</w:t>
      </w:r>
      <w:r w:rsidR="00202EC1">
        <w:rPr>
          <w:rFonts w:asciiTheme="majorHAnsi" w:eastAsiaTheme="majorEastAsia" w:hAnsiTheme="majorHAnsi" w:cstheme="majorBidi"/>
          <w:color w:val="000000" w:themeColor="text1"/>
          <w:szCs w:val="36"/>
        </w:rPr>
        <w:t>..23</w:t>
      </w:r>
    </w:p>
    <w:p w:rsidR="00C905E7" w:rsidRDefault="00C905E7" w:rsidP="00C939FF">
      <w:pPr>
        <w:pStyle w:val="TDC1"/>
      </w:pPr>
      <w:r w:rsidRPr="00C939FF">
        <w:t xml:space="preserve">5. ¿Quiénes son los actores de la corrupción? </w:t>
      </w:r>
      <w:r w:rsidR="00C939FF" w:rsidRPr="00C939FF">
        <w:t>……………………………………………………</w:t>
      </w:r>
      <w:r w:rsidR="00C939FF">
        <w:t>………</w:t>
      </w:r>
      <w:r w:rsidR="00202EC1">
        <w:t>…27</w:t>
      </w:r>
    </w:p>
    <w:p w:rsidR="005A27E2" w:rsidRPr="005A27E2" w:rsidRDefault="005A27E2" w:rsidP="005A27E2">
      <w:pPr>
        <w:rPr>
          <w:rFonts w:asciiTheme="majorHAnsi" w:eastAsiaTheme="majorEastAsia" w:hAnsiTheme="majorHAnsi" w:cstheme="majorBidi"/>
          <w:color w:val="000000" w:themeColor="text1"/>
          <w:szCs w:val="36"/>
        </w:rPr>
      </w:pPr>
      <w:r>
        <w:t xml:space="preserve">6. </w:t>
      </w:r>
      <w:r w:rsidRPr="005A27E2">
        <w:rPr>
          <w:rFonts w:asciiTheme="majorHAnsi" w:eastAsiaTheme="majorEastAsia" w:hAnsiTheme="majorHAnsi" w:cstheme="majorBidi"/>
          <w:color w:val="000000" w:themeColor="text1"/>
          <w:szCs w:val="36"/>
        </w:rPr>
        <w:t xml:space="preserve">¿Cómo avanza la </w:t>
      </w:r>
      <w:r w:rsidR="00202EC1">
        <w:rPr>
          <w:rFonts w:asciiTheme="majorHAnsi" w:eastAsiaTheme="majorEastAsia" w:hAnsiTheme="majorHAnsi" w:cstheme="majorBidi"/>
          <w:color w:val="000000" w:themeColor="text1"/>
          <w:szCs w:val="36"/>
        </w:rPr>
        <w:t xml:space="preserve">investigación y sanción a estos </w:t>
      </w:r>
      <w:r w:rsidRPr="005A27E2">
        <w:rPr>
          <w:rFonts w:asciiTheme="majorHAnsi" w:eastAsiaTheme="majorEastAsia" w:hAnsiTheme="majorHAnsi" w:cstheme="majorBidi"/>
          <w:color w:val="000000" w:themeColor="text1"/>
          <w:szCs w:val="36"/>
        </w:rPr>
        <w:t>hechos?</w:t>
      </w:r>
      <w:r>
        <w:rPr>
          <w:rFonts w:asciiTheme="majorHAnsi" w:eastAsiaTheme="majorEastAsia" w:hAnsiTheme="majorHAnsi" w:cstheme="majorBidi"/>
          <w:color w:val="000000" w:themeColor="text1"/>
          <w:szCs w:val="36"/>
        </w:rPr>
        <w:t>..........................................................................................</w:t>
      </w:r>
      <w:r w:rsidR="00202EC1">
        <w:rPr>
          <w:rFonts w:asciiTheme="majorHAnsi" w:eastAsiaTheme="majorEastAsia" w:hAnsiTheme="majorHAnsi" w:cstheme="majorBidi"/>
          <w:color w:val="000000" w:themeColor="text1"/>
          <w:szCs w:val="36"/>
        </w:rPr>
        <w:t>...........................................................................30</w:t>
      </w:r>
    </w:p>
    <w:p w:rsidR="00C905E7" w:rsidRDefault="00C905E7" w:rsidP="00C939FF">
      <w:pPr>
        <w:pStyle w:val="TDC1"/>
      </w:pPr>
      <w:r w:rsidRPr="00C905E7">
        <w:t xml:space="preserve">7. La corrupción viola los derechos humanos </w:t>
      </w:r>
      <w:r w:rsidR="005A27E2">
        <w:t>……………………………………………………………</w:t>
      </w:r>
      <w:r w:rsidR="00202EC1">
        <w:t>…32</w:t>
      </w:r>
    </w:p>
    <w:p w:rsidR="005A27E2" w:rsidRDefault="005A27E2" w:rsidP="005A27E2">
      <w:pPr>
        <w:rPr>
          <w:rFonts w:asciiTheme="majorHAnsi" w:eastAsiaTheme="majorEastAsia" w:hAnsiTheme="majorHAnsi" w:cstheme="majorBidi"/>
          <w:color w:val="000000" w:themeColor="text1"/>
          <w:szCs w:val="36"/>
        </w:rPr>
      </w:pPr>
      <w:r w:rsidRPr="005A27E2">
        <w:rPr>
          <w:rFonts w:asciiTheme="majorHAnsi" w:eastAsiaTheme="majorEastAsia" w:hAnsiTheme="majorHAnsi" w:cstheme="majorBidi"/>
          <w:color w:val="000000" w:themeColor="text1"/>
          <w:szCs w:val="36"/>
        </w:rPr>
        <w:t>8. A manera de conclusión</w:t>
      </w:r>
      <w:r>
        <w:rPr>
          <w:rFonts w:asciiTheme="majorHAnsi" w:eastAsiaTheme="majorEastAsia" w:hAnsiTheme="majorHAnsi" w:cstheme="majorBidi"/>
          <w:color w:val="000000" w:themeColor="text1"/>
          <w:szCs w:val="36"/>
        </w:rPr>
        <w:t>…………………………………………………………………………………………</w:t>
      </w:r>
      <w:r w:rsidR="00202EC1">
        <w:rPr>
          <w:rFonts w:asciiTheme="majorHAnsi" w:eastAsiaTheme="majorEastAsia" w:hAnsiTheme="majorHAnsi" w:cstheme="majorBidi"/>
          <w:color w:val="000000" w:themeColor="text1"/>
          <w:szCs w:val="36"/>
        </w:rPr>
        <w:t>..35</w:t>
      </w:r>
    </w:p>
    <w:p w:rsidR="006B6EE6" w:rsidRPr="005A27E2" w:rsidRDefault="005A27E2" w:rsidP="005A27E2">
      <w:pPr>
        <w:rPr>
          <w:rFonts w:asciiTheme="majorHAnsi" w:eastAsiaTheme="majorEastAsia" w:hAnsiTheme="majorHAnsi" w:cstheme="majorBidi"/>
          <w:color w:val="000000" w:themeColor="text1"/>
          <w:szCs w:val="36"/>
        </w:rPr>
      </w:pPr>
      <w:r>
        <w:rPr>
          <w:rFonts w:asciiTheme="majorHAnsi" w:eastAsiaTheme="majorEastAsia" w:hAnsiTheme="majorHAnsi" w:cstheme="majorBidi"/>
          <w:color w:val="000000" w:themeColor="text1"/>
          <w:szCs w:val="36"/>
        </w:rPr>
        <w:t>9. Anexos: Gráficas y Tablas…………</w:t>
      </w:r>
      <w:r w:rsidR="00202EC1">
        <w:rPr>
          <w:rFonts w:asciiTheme="majorHAnsi" w:eastAsiaTheme="majorEastAsia" w:hAnsiTheme="majorHAnsi" w:cstheme="majorBidi"/>
          <w:color w:val="000000" w:themeColor="text1"/>
          <w:szCs w:val="36"/>
        </w:rPr>
        <w:t>…………………………………………………………………………….36</w:t>
      </w:r>
    </w:p>
    <w:p w:rsidR="00C905E7" w:rsidRDefault="00C905E7" w:rsidP="00C939FF">
      <w:pPr>
        <w:pStyle w:val="TDC1"/>
      </w:pPr>
    </w:p>
    <w:p w:rsidR="00621D5C" w:rsidRDefault="00621D5C" w:rsidP="00C905E7">
      <w:pPr>
        <w:pStyle w:val="Ttulo1"/>
        <w:rPr>
          <w:b/>
          <w:color w:val="000000" w:themeColor="text1"/>
          <w:sz w:val="28"/>
        </w:rPr>
      </w:pPr>
    </w:p>
    <w:p w:rsidR="00C905E7" w:rsidRDefault="00C905E7" w:rsidP="00C905E7"/>
    <w:p w:rsidR="00C905E7" w:rsidRDefault="00C905E7" w:rsidP="00C905E7"/>
    <w:p w:rsidR="00C905E7" w:rsidRDefault="00C905E7" w:rsidP="00C905E7"/>
    <w:p w:rsidR="00C905E7" w:rsidRDefault="00C905E7" w:rsidP="00C905E7"/>
    <w:p w:rsidR="00C905E7" w:rsidRDefault="00C905E7" w:rsidP="00C905E7"/>
    <w:p w:rsidR="00BE4892" w:rsidRDefault="00BE4892" w:rsidP="00B208ED">
      <w:pPr>
        <w:pStyle w:val="Ttulo1"/>
        <w:rPr>
          <w:b/>
          <w:color w:val="000000" w:themeColor="text1"/>
          <w:sz w:val="28"/>
        </w:rPr>
      </w:pPr>
      <w:bookmarkStart w:id="2" w:name="_Toc4077116"/>
      <w:bookmarkStart w:id="3" w:name="_Toc4077239"/>
      <w:r>
        <w:rPr>
          <w:b/>
          <w:color w:val="000000" w:themeColor="text1"/>
          <w:sz w:val="28"/>
        </w:rPr>
        <w:lastRenderedPageBreak/>
        <w:t>Introducción</w:t>
      </w:r>
      <w:bookmarkEnd w:id="2"/>
      <w:bookmarkEnd w:id="3"/>
      <w:r>
        <w:rPr>
          <w:b/>
          <w:color w:val="000000" w:themeColor="text1"/>
          <w:sz w:val="28"/>
        </w:rPr>
        <w:t xml:space="preserve"> </w:t>
      </w:r>
    </w:p>
    <w:p w:rsidR="00B208ED" w:rsidRPr="00380430" w:rsidRDefault="00B208ED" w:rsidP="00B208ED">
      <w:pPr>
        <w:pStyle w:val="Ttulo1"/>
        <w:rPr>
          <w:b/>
          <w:color w:val="000000" w:themeColor="text1"/>
          <w:sz w:val="28"/>
        </w:rPr>
      </w:pPr>
      <w:bookmarkStart w:id="4" w:name="_Toc4077117"/>
      <w:bookmarkStart w:id="5" w:name="_Toc4077240"/>
      <w:r w:rsidRPr="00D2195B">
        <w:rPr>
          <w:b/>
          <w:color w:val="000000" w:themeColor="text1"/>
          <w:sz w:val="28"/>
        </w:rPr>
        <w:t>El Monitor ciudadano de la corrupción</w:t>
      </w:r>
      <w:bookmarkEnd w:id="4"/>
      <w:bookmarkEnd w:id="5"/>
    </w:p>
    <w:p w:rsidR="00B208ED" w:rsidRDefault="00B208ED" w:rsidP="00B208ED">
      <w:pPr>
        <w:pStyle w:val="Sinespaciado"/>
        <w:spacing w:line="360" w:lineRule="auto"/>
        <w:jc w:val="both"/>
      </w:pPr>
    </w:p>
    <w:p w:rsidR="00B208ED" w:rsidRPr="00A2102B" w:rsidRDefault="00B208ED" w:rsidP="00B208ED">
      <w:pPr>
        <w:pStyle w:val="Sinespaciado"/>
        <w:jc w:val="both"/>
        <w:rPr>
          <w:rFonts w:eastAsiaTheme="minorHAnsi"/>
          <w:sz w:val="24"/>
          <w:szCs w:val="24"/>
        </w:rPr>
      </w:pPr>
      <w:r w:rsidRPr="00A2102B">
        <w:rPr>
          <w:rFonts w:eastAsiaTheme="minorHAnsi"/>
          <w:sz w:val="24"/>
          <w:szCs w:val="24"/>
        </w:rPr>
        <w:t>Con el objetivo de fortalecer el conocimient</w:t>
      </w:r>
      <w:r>
        <w:rPr>
          <w:rFonts w:eastAsiaTheme="minorHAnsi"/>
          <w:sz w:val="24"/>
          <w:szCs w:val="24"/>
        </w:rPr>
        <w:t xml:space="preserve">o público sobre la corrupción, </w:t>
      </w:r>
      <w:r w:rsidRPr="00A2102B">
        <w:rPr>
          <w:rFonts w:eastAsiaTheme="minorHAnsi"/>
          <w:sz w:val="24"/>
          <w:szCs w:val="24"/>
        </w:rPr>
        <w:t xml:space="preserve">en 2016 Transparencia por Colombia dio inicio al proyecto </w:t>
      </w:r>
      <w:r w:rsidRPr="00A2102B">
        <w:rPr>
          <w:rFonts w:eastAsiaTheme="minorHAnsi"/>
          <w:b/>
          <w:i/>
          <w:sz w:val="24"/>
          <w:szCs w:val="24"/>
        </w:rPr>
        <w:t>Monitor ciudadano de la corrupción</w:t>
      </w:r>
      <w:r w:rsidRPr="00A2102B">
        <w:rPr>
          <w:rFonts w:eastAsiaTheme="minorHAnsi"/>
          <w:sz w:val="24"/>
          <w:szCs w:val="24"/>
        </w:rPr>
        <w:t>, un</w:t>
      </w:r>
      <w:r>
        <w:rPr>
          <w:rFonts w:eastAsiaTheme="minorHAnsi"/>
          <w:sz w:val="24"/>
          <w:szCs w:val="24"/>
        </w:rPr>
        <w:t xml:space="preserve">a plataforma </w:t>
      </w:r>
      <w:r w:rsidRPr="00A2102B">
        <w:rPr>
          <w:rFonts w:eastAsiaTheme="minorHAnsi"/>
          <w:sz w:val="24"/>
          <w:szCs w:val="24"/>
        </w:rPr>
        <w:t>de</w:t>
      </w:r>
      <w:r>
        <w:rPr>
          <w:rFonts w:eastAsiaTheme="minorHAnsi"/>
          <w:sz w:val="24"/>
          <w:szCs w:val="24"/>
        </w:rPr>
        <w:t xml:space="preserve"> curaduría de información, </w:t>
      </w:r>
      <w:r w:rsidRPr="00A2102B">
        <w:rPr>
          <w:rFonts w:eastAsiaTheme="minorHAnsi"/>
          <w:sz w:val="24"/>
          <w:szCs w:val="24"/>
        </w:rPr>
        <w:t>investigación y seguimiento de</w:t>
      </w:r>
      <w:r>
        <w:rPr>
          <w:rFonts w:eastAsiaTheme="minorHAnsi"/>
          <w:sz w:val="24"/>
          <w:szCs w:val="24"/>
        </w:rPr>
        <w:t xml:space="preserve">l fenómeno de la </w:t>
      </w:r>
      <w:r w:rsidRPr="00A2102B">
        <w:rPr>
          <w:rFonts w:eastAsiaTheme="minorHAnsi"/>
          <w:sz w:val="24"/>
          <w:szCs w:val="24"/>
        </w:rPr>
        <w:t>corrupción</w:t>
      </w:r>
      <w:r>
        <w:rPr>
          <w:rFonts w:eastAsiaTheme="minorHAnsi"/>
          <w:sz w:val="24"/>
          <w:szCs w:val="24"/>
        </w:rPr>
        <w:t xml:space="preserve"> en nuestro país. Contar con más y mejor información sobre este complejo fenómeno contribuye a una lectura más precisa, y por ende a una acción ciudadana y estatal más eficiente, ya sea en términos de prevención, como de </w:t>
      </w:r>
      <w:r w:rsidRPr="00A2102B">
        <w:rPr>
          <w:rFonts w:eastAsiaTheme="minorHAnsi"/>
          <w:sz w:val="24"/>
          <w:szCs w:val="24"/>
        </w:rPr>
        <w:t>detección y sanción</w:t>
      </w:r>
      <w:r>
        <w:rPr>
          <w:rFonts w:eastAsiaTheme="minorHAnsi"/>
          <w:sz w:val="24"/>
          <w:szCs w:val="24"/>
        </w:rPr>
        <w:t xml:space="preserve"> – social e institucional – de los actos corruptos. Para este fin, el Monitor observa los hechos de corrupción al tiempo que realiza seguimiento a la acción pública estatal. </w:t>
      </w:r>
    </w:p>
    <w:p w:rsidR="00B208ED" w:rsidRDefault="00B208ED" w:rsidP="00B208ED">
      <w:pPr>
        <w:pStyle w:val="Textonotapie"/>
        <w:jc w:val="both"/>
        <w:rPr>
          <w:rFonts w:eastAsiaTheme="minorHAnsi"/>
          <w:sz w:val="24"/>
          <w:szCs w:val="24"/>
        </w:rPr>
      </w:pPr>
    </w:p>
    <w:p w:rsidR="00B208ED" w:rsidRDefault="00B208ED" w:rsidP="00B208ED">
      <w:pPr>
        <w:pStyle w:val="Textonotapie"/>
        <w:jc w:val="both"/>
        <w:rPr>
          <w:rFonts w:eastAsiaTheme="minorHAnsi"/>
          <w:sz w:val="24"/>
          <w:szCs w:val="24"/>
        </w:rPr>
      </w:pPr>
      <w:r w:rsidRPr="00A2102B">
        <w:rPr>
          <w:rFonts w:eastAsiaTheme="minorHAnsi"/>
          <w:sz w:val="24"/>
          <w:szCs w:val="24"/>
        </w:rPr>
        <w:t>E</w:t>
      </w:r>
      <w:r>
        <w:rPr>
          <w:rFonts w:eastAsiaTheme="minorHAnsi"/>
          <w:sz w:val="24"/>
          <w:szCs w:val="24"/>
        </w:rPr>
        <w:t xml:space="preserve">ste observatorio acopia, </w:t>
      </w:r>
      <w:r w:rsidRPr="00A2102B">
        <w:rPr>
          <w:rFonts w:eastAsiaTheme="minorHAnsi"/>
          <w:sz w:val="24"/>
          <w:szCs w:val="24"/>
        </w:rPr>
        <w:t>cualifica</w:t>
      </w:r>
      <w:r>
        <w:rPr>
          <w:rFonts w:eastAsiaTheme="minorHAnsi"/>
          <w:sz w:val="24"/>
          <w:szCs w:val="24"/>
        </w:rPr>
        <w:t xml:space="preserve">, cuantifica, analiza y </w:t>
      </w:r>
      <w:r w:rsidRPr="00A2102B">
        <w:rPr>
          <w:rFonts w:eastAsiaTheme="minorHAnsi"/>
          <w:sz w:val="24"/>
          <w:szCs w:val="24"/>
        </w:rPr>
        <w:t xml:space="preserve">visibiliza </w:t>
      </w:r>
      <w:r>
        <w:rPr>
          <w:rFonts w:eastAsiaTheme="minorHAnsi"/>
          <w:sz w:val="24"/>
          <w:szCs w:val="24"/>
        </w:rPr>
        <w:t xml:space="preserve">el registro de los hechos de </w:t>
      </w:r>
      <w:r w:rsidRPr="00A2102B">
        <w:rPr>
          <w:rFonts w:eastAsiaTheme="minorHAnsi"/>
          <w:sz w:val="24"/>
          <w:szCs w:val="24"/>
        </w:rPr>
        <w:t xml:space="preserve">corrupción </w:t>
      </w:r>
      <w:r>
        <w:rPr>
          <w:rFonts w:eastAsiaTheme="minorHAnsi"/>
          <w:sz w:val="24"/>
          <w:szCs w:val="24"/>
        </w:rPr>
        <w:t xml:space="preserve">que hacen los medios de comunicación y los órganos de control e investigación. </w:t>
      </w:r>
      <w:r w:rsidRPr="00A2102B">
        <w:rPr>
          <w:rFonts w:eastAsiaTheme="minorHAnsi"/>
          <w:sz w:val="24"/>
          <w:szCs w:val="24"/>
        </w:rPr>
        <w:t>Gracias a esta plataforma digital de visualización de datos</w:t>
      </w:r>
      <w:r w:rsidRPr="00D42E2A">
        <w:rPr>
          <w:rFonts w:eastAsiaTheme="minorHAnsi"/>
          <w:szCs w:val="24"/>
          <w:vertAlign w:val="superscript"/>
        </w:rPr>
        <w:footnoteReference w:id="1"/>
      </w:r>
      <w:r>
        <w:rPr>
          <w:rFonts w:eastAsiaTheme="minorHAnsi"/>
          <w:sz w:val="24"/>
          <w:szCs w:val="24"/>
        </w:rPr>
        <w:t>, se recopila información sobre hechos de corrupción en Colombia con el fin de ponerlos al servicio de la ciudadanía</w:t>
      </w:r>
      <w:r w:rsidR="00FE5795">
        <w:rPr>
          <w:rFonts w:eastAsiaTheme="minorHAnsi"/>
          <w:sz w:val="24"/>
          <w:szCs w:val="24"/>
        </w:rPr>
        <w:t>:</w:t>
      </w:r>
      <w:r>
        <w:rPr>
          <w:rFonts w:eastAsiaTheme="minorHAnsi"/>
          <w:sz w:val="24"/>
          <w:szCs w:val="24"/>
        </w:rPr>
        <w:t xml:space="preserve"> </w:t>
      </w:r>
      <w:r w:rsidR="00FE5795">
        <w:rPr>
          <w:rFonts w:eastAsiaTheme="minorHAnsi"/>
          <w:sz w:val="24"/>
          <w:szCs w:val="24"/>
        </w:rPr>
        <w:t>i</w:t>
      </w:r>
      <w:r>
        <w:rPr>
          <w:rFonts w:eastAsiaTheme="minorHAnsi"/>
          <w:sz w:val="24"/>
          <w:szCs w:val="24"/>
        </w:rPr>
        <w:t xml:space="preserve">nformes descriptivos y de análisis, datos acopiados y procesados y archivos planos quedan a disposición de líderes sociales, periodistas analistas, académicos, estudiantes y cualquier ciudadano interesado en consultarlos. </w:t>
      </w:r>
    </w:p>
    <w:p w:rsidR="00B208ED" w:rsidRDefault="00B208ED" w:rsidP="00B208ED">
      <w:pPr>
        <w:pStyle w:val="Sinespaciado"/>
        <w:jc w:val="both"/>
        <w:rPr>
          <w:rFonts w:eastAsiaTheme="minorHAnsi"/>
          <w:sz w:val="24"/>
          <w:szCs w:val="24"/>
        </w:rPr>
      </w:pPr>
    </w:p>
    <w:p w:rsidR="00B208ED" w:rsidRPr="00A2102B" w:rsidRDefault="00B208ED" w:rsidP="00FA4319">
      <w:pPr>
        <w:spacing w:after="0" w:line="240" w:lineRule="auto"/>
        <w:jc w:val="both"/>
        <w:rPr>
          <w:rFonts w:eastAsiaTheme="minorHAnsi"/>
          <w:sz w:val="24"/>
          <w:szCs w:val="24"/>
        </w:rPr>
      </w:pPr>
      <w:r>
        <w:rPr>
          <w:rFonts w:eastAsiaTheme="minorHAnsi"/>
          <w:sz w:val="24"/>
          <w:szCs w:val="24"/>
        </w:rPr>
        <w:t xml:space="preserve">Hasta la fecha el </w:t>
      </w:r>
      <w:r w:rsidRPr="006249F8">
        <w:rPr>
          <w:rFonts w:eastAsiaTheme="minorHAnsi"/>
          <w:b/>
          <w:i/>
          <w:sz w:val="24"/>
          <w:szCs w:val="24"/>
        </w:rPr>
        <w:t>Monitor Ciudadano</w:t>
      </w:r>
      <w:r w:rsidRPr="00A2102B">
        <w:rPr>
          <w:rFonts w:eastAsiaTheme="minorHAnsi"/>
          <w:sz w:val="24"/>
          <w:szCs w:val="24"/>
        </w:rPr>
        <w:t xml:space="preserve"> </w:t>
      </w:r>
      <w:r>
        <w:rPr>
          <w:rFonts w:eastAsiaTheme="minorHAnsi"/>
          <w:sz w:val="24"/>
          <w:szCs w:val="24"/>
        </w:rPr>
        <w:t xml:space="preserve">ha presentado tres </w:t>
      </w:r>
      <w:r w:rsidRPr="00A2102B">
        <w:rPr>
          <w:rFonts w:eastAsiaTheme="minorHAnsi"/>
          <w:sz w:val="24"/>
          <w:szCs w:val="24"/>
        </w:rPr>
        <w:t xml:space="preserve">informes </w:t>
      </w:r>
      <w:r>
        <w:rPr>
          <w:rFonts w:eastAsiaTheme="minorHAnsi"/>
          <w:sz w:val="24"/>
          <w:szCs w:val="24"/>
        </w:rPr>
        <w:t xml:space="preserve">sobre el </w:t>
      </w:r>
      <w:r w:rsidRPr="00A2102B">
        <w:rPr>
          <w:rFonts w:eastAsiaTheme="minorHAnsi"/>
          <w:sz w:val="24"/>
          <w:szCs w:val="24"/>
        </w:rPr>
        <w:t>panorama de la corrupción en el país</w:t>
      </w:r>
      <w:r>
        <w:rPr>
          <w:rFonts w:eastAsiaTheme="minorHAnsi"/>
          <w:sz w:val="24"/>
          <w:szCs w:val="24"/>
        </w:rPr>
        <w:t>.</w:t>
      </w:r>
      <w:r w:rsidRPr="00A2102B">
        <w:rPr>
          <w:rFonts w:eastAsiaTheme="minorHAnsi"/>
          <w:sz w:val="24"/>
          <w:szCs w:val="24"/>
        </w:rPr>
        <w:t xml:space="preserve"> </w:t>
      </w:r>
      <w:r>
        <w:rPr>
          <w:rFonts w:eastAsiaTheme="minorHAnsi"/>
          <w:sz w:val="24"/>
          <w:szCs w:val="24"/>
        </w:rPr>
        <w:t xml:space="preserve">En agosto de 2017 se presentó el primer informe </w:t>
      </w:r>
      <w:r w:rsidRPr="00AD6FAD">
        <w:rPr>
          <w:rFonts w:eastAsiaTheme="minorHAnsi"/>
          <w:i/>
          <w:sz w:val="24"/>
          <w:szCs w:val="24"/>
        </w:rPr>
        <w:t>“Corrupción en territorios de paz” 2010-2016</w:t>
      </w:r>
      <w:r>
        <w:rPr>
          <w:rStyle w:val="Refdenotaalpie"/>
          <w:rFonts w:eastAsiaTheme="minorHAnsi"/>
          <w:i/>
          <w:sz w:val="24"/>
          <w:szCs w:val="24"/>
        </w:rPr>
        <w:footnoteReference w:id="2"/>
      </w:r>
      <w:r>
        <w:rPr>
          <w:rFonts w:eastAsiaTheme="minorHAnsi"/>
          <w:i/>
          <w:sz w:val="24"/>
          <w:szCs w:val="24"/>
        </w:rPr>
        <w:t xml:space="preserve">, </w:t>
      </w:r>
      <w:r w:rsidRPr="006249F8">
        <w:rPr>
          <w:rFonts w:eastAsiaTheme="minorHAnsi"/>
          <w:sz w:val="24"/>
          <w:szCs w:val="24"/>
        </w:rPr>
        <w:t>el cual recopila los</w:t>
      </w:r>
      <w:r>
        <w:rPr>
          <w:rFonts w:eastAsiaTheme="minorHAnsi"/>
          <w:sz w:val="24"/>
          <w:szCs w:val="24"/>
        </w:rPr>
        <w:t xml:space="preserve"> hechos de corrupción ocurridos en los departamentos que acogieron los </w:t>
      </w:r>
      <w:r w:rsidRPr="00773F46">
        <w:rPr>
          <w:rFonts w:eastAsiaTheme="minorHAnsi"/>
          <w:i/>
          <w:sz w:val="24"/>
          <w:szCs w:val="24"/>
        </w:rPr>
        <w:t>Territorios de Paz</w:t>
      </w:r>
      <w:r>
        <w:rPr>
          <w:rFonts w:eastAsiaTheme="minorHAnsi"/>
          <w:sz w:val="24"/>
          <w:szCs w:val="24"/>
        </w:rPr>
        <w:t xml:space="preserve"> en el marco de los acuerdos de La Habana. En el año 2018, se sistematizaron y analizaron las propuestas que los candidatos a la Presidencia de la República presentaron en relación con los cuatro temas claves para la lucha contra la corrupción: la reforma política, la reforma a la justicia, la gestión pública con énfasis en contratación pública y empleo público, y las medidas estrictamente </w:t>
      </w:r>
      <w:r w:rsidRPr="00D06D02">
        <w:rPr>
          <w:rFonts w:eastAsiaTheme="minorHAnsi"/>
          <w:sz w:val="24"/>
          <w:szCs w:val="24"/>
        </w:rPr>
        <w:t xml:space="preserve">anticorrupción. Los informes </w:t>
      </w:r>
      <w:r w:rsidRPr="00D06D02">
        <w:rPr>
          <w:rFonts w:eastAsiaTheme="minorHAnsi"/>
          <w:b/>
          <w:i/>
          <w:sz w:val="24"/>
          <w:szCs w:val="24"/>
        </w:rPr>
        <w:t>“Golazo a la Corrupción”</w:t>
      </w:r>
      <w:r>
        <w:rPr>
          <w:rFonts w:eastAsiaTheme="minorHAnsi"/>
          <w:sz w:val="24"/>
          <w:szCs w:val="24"/>
        </w:rPr>
        <w:t xml:space="preserve"> primer y segundo tiempo, presentan tanto las propuestas de los candidatos como los comentarios que la Corporación realizó sobre cada una de ellos. Este ejercicio se realizó para la primera y segunda vuelta electoral.</w:t>
      </w:r>
      <w:r>
        <w:rPr>
          <w:rStyle w:val="Refdenotaalpie"/>
          <w:rFonts w:eastAsiaTheme="minorHAnsi"/>
          <w:sz w:val="24"/>
          <w:szCs w:val="24"/>
        </w:rPr>
        <w:footnoteReference w:id="3"/>
      </w:r>
      <w:r>
        <w:rPr>
          <w:rFonts w:eastAsiaTheme="minorHAnsi"/>
          <w:sz w:val="24"/>
          <w:szCs w:val="24"/>
        </w:rPr>
        <w:t xml:space="preserve"> En el 2019, </w:t>
      </w:r>
      <w:r w:rsidRPr="00A2102B">
        <w:rPr>
          <w:rFonts w:eastAsiaTheme="minorHAnsi"/>
          <w:sz w:val="24"/>
          <w:szCs w:val="24"/>
        </w:rPr>
        <w:t xml:space="preserve">se presenta </w:t>
      </w:r>
      <w:r w:rsidR="006C44AF">
        <w:rPr>
          <w:rFonts w:eastAsiaTheme="minorHAnsi"/>
          <w:sz w:val="24"/>
          <w:szCs w:val="24"/>
        </w:rPr>
        <w:t>este tercer</w:t>
      </w:r>
      <w:r>
        <w:rPr>
          <w:rFonts w:eastAsiaTheme="minorHAnsi"/>
          <w:sz w:val="24"/>
          <w:szCs w:val="24"/>
        </w:rPr>
        <w:t xml:space="preserve"> ejercicio de acopio y análisis de información: </w:t>
      </w:r>
      <w:r w:rsidR="00FA4319" w:rsidRPr="00FA4319">
        <w:rPr>
          <w:rFonts w:asciiTheme="majorHAnsi" w:hAnsiTheme="majorHAnsi" w:cs="Aharoni"/>
          <w:i/>
          <w:sz w:val="24"/>
        </w:rPr>
        <w:t>Radiografía de hechos de corrupción en Colombia: 2016-2018. Sistematización del registro periodístico sobre la corrupción</w:t>
      </w:r>
    </w:p>
    <w:p w:rsidR="00B208ED" w:rsidRDefault="00B208ED" w:rsidP="00B208ED">
      <w:pPr>
        <w:pStyle w:val="Sinespaciado"/>
        <w:jc w:val="both"/>
        <w:rPr>
          <w:rFonts w:eastAsiaTheme="minorHAnsi"/>
          <w:sz w:val="24"/>
          <w:szCs w:val="24"/>
        </w:rPr>
      </w:pPr>
    </w:p>
    <w:p w:rsidR="00781543" w:rsidRDefault="00242110" w:rsidP="00B208ED">
      <w:pPr>
        <w:pStyle w:val="Sinespaciado"/>
        <w:jc w:val="both"/>
        <w:rPr>
          <w:rFonts w:eastAsiaTheme="minorHAnsi"/>
          <w:sz w:val="24"/>
          <w:szCs w:val="24"/>
        </w:rPr>
      </w:pPr>
      <w:r>
        <w:rPr>
          <w:rFonts w:eastAsiaTheme="minorHAnsi"/>
          <w:sz w:val="24"/>
          <w:szCs w:val="24"/>
        </w:rPr>
        <w:lastRenderedPageBreak/>
        <w:t xml:space="preserve">Todos los contenidos anteriormente mencionados podrán ser consultados y descargados de manera gratuita en la plataforma de Monitor Ciudadano. </w:t>
      </w:r>
      <w:r w:rsidR="00FE5795">
        <w:rPr>
          <w:rFonts w:eastAsiaTheme="minorHAnsi"/>
          <w:sz w:val="24"/>
          <w:szCs w:val="24"/>
        </w:rPr>
        <w:t>C</w:t>
      </w:r>
      <w:r w:rsidR="0035466F">
        <w:rPr>
          <w:rFonts w:eastAsiaTheme="minorHAnsi"/>
          <w:sz w:val="24"/>
          <w:szCs w:val="24"/>
        </w:rPr>
        <w:t xml:space="preserve">reemos que los datos abiertos están cambiando las dinámicas de lucha contra la corrupción y son un insumo fundamental en este propósito. Por ello, </w:t>
      </w:r>
      <w:r w:rsidR="00781543">
        <w:rPr>
          <w:rFonts w:eastAsiaTheme="minorHAnsi"/>
          <w:sz w:val="24"/>
          <w:szCs w:val="24"/>
        </w:rPr>
        <w:t>en la  plataforma de Monitor Ciudadano encontrarán mapas interactivos para búsqueda de hechos por departamentos del país, fichas de todos los hechos de corrupción en formato descargable, visualización de datos agregados del presente informe, bases de datos en código abierto para consulta y reutilización de las mismas</w:t>
      </w:r>
      <w:r w:rsidR="009C3D7A">
        <w:rPr>
          <w:rFonts w:eastAsiaTheme="minorHAnsi"/>
          <w:sz w:val="24"/>
          <w:szCs w:val="24"/>
        </w:rPr>
        <w:t xml:space="preserve">. </w:t>
      </w:r>
      <w:r w:rsidR="00781543">
        <w:rPr>
          <w:rFonts w:eastAsiaTheme="minorHAnsi"/>
          <w:sz w:val="24"/>
          <w:szCs w:val="24"/>
        </w:rPr>
        <w:t>Hemos</w:t>
      </w:r>
      <w:r>
        <w:rPr>
          <w:rFonts w:eastAsiaTheme="minorHAnsi"/>
          <w:sz w:val="24"/>
          <w:szCs w:val="24"/>
        </w:rPr>
        <w:t xml:space="preserve"> puesto al servicio de la ciudadanía </w:t>
      </w:r>
      <w:r w:rsidR="00781543">
        <w:rPr>
          <w:rFonts w:eastAsiaTheme="minorHAnsi"/>
          <w:sz w:val="24"/>
          <w:szCs w:val="24"/>
        </w:rPr>
        <w:t>toda esta información de manera pública y gratuita</w:t>
      </w:r>
      <w:r w:rsidR="00694FE0">
        <w:rPr>
          <w:rFonts w:eastAsiaTheme="minorHAnsi"/>
          <w:sz w:val="24"/>
          <w:szCs w:val="24"/>
        </w:rPr>
        <w:t xml:space="preserve">. </w:t>
      </w:r>
      <w:r w:rsidR="00FE5795">
        <w:rPr>
          <w:rFonts w:eastAsiaTheme="minorHAnsi"/>
          <w:sz w:val="24"/>
          <w:szCs w:val="24"/>
        </w:rPr>
        <w:t>Se</w:t>
      </w:r>
      <w:r w:rsidR="0035466F">
        <w:rPr>
          <w:rFonts w:eastAsiaTheme="minorHAnsi"/>
          <w:sz w:val="24"/>
          <w:szCs w:val="24"/>
        </w:rPr>
        <w:t xml:space="preserve"> invita a </w:t>
      </w:r>
      <w:r w:rsidR="00FE5795">
        <w:rPr>
          <w:rFonts w:eastAsiaTheme="minorHAnsi"/>
          <w:sz w:val="24"/>
          <w:szCs w:val="24"/>
        </w:rPr>
        <w:t xml:space="preserve">todas las personas interesadas a </w:t>
      </w:r>
      <w:r w:rsidR="00781543">
        <w:rPr>
          <w:rFonts w:eastAsiaTheme="minorHAnsi"/>
          <w:sz w:val="24"/>
          <w:szCs w:val="24"/>
        </w:rPr>
        <w:t>consul</w:t>
      </w:r>
      <w:r w:rsidR="00FE5795">
        <w:rPr>
          <w:rFonts w:eastAsiaTheme="minorHAnsi"/>
          <w:sz w:val="24"/>
          <w:szCs w:val="24"/>
        </w:rPr>
        <w:t>ar</w:t>
      </w:r>
      <w:r w:rsidR="00781543">
        <w:rPr>
          <w:rFonts w:eastAsiaTheme="minorHAnsi"/>
          <w:sz w:val="24"/>
          <w:szCs w:val="24"/>
        </w:rPr>
        <w:t>, us</w:t>
      </w:r>
      <w:r w:rsidR="00FE5795">
        <w:rPr>
          <w:rFonts w:eastAsiaTheme="minorHAnsi"/>
          <w:sz w:val="24"/>
          <w:szCs w:val="24"/>
        </w:rPr>
        <w:t>ar</w:t>
      </w:r>
      <w:r w:rsidR="00781543">
        <w:rPr>
          <w:rFonts w:eastAsiaTheme="minorHAnsi"/>
          <w:sz w:val="24"/>
          <w:szCs w:val="24"/>
        </w:rPr>
        <w:t xml:space="preserve"> y explor</w:t>
      </w:r>
      <w:r w:rsidR="00FE5795">
        <w:rPr>
          <w:rFonts w:eastAsiaTheme="minorHAnsi"/>
          <w:sz w:val="24"/>
          <w:szCs w:val="24"/>
        </w:rPr>
        <w:t>ar</w:t>
      </w:r>
      <w:r w:rsidR="00781543">
        <w:rPr>
          <w:rFonts w:eastAsiaTheme="minorHAnsi"/>
          <w:sz w:val="24"/>
          <w:szCs w:val="24"/>
        </w:rPr>
        <w:t xml:space="preserve"> </w:t>
      </w:r>
      <w:r w:rsidR="0035466F">
        <w:rPr>
          <w:rFonts w:eastAsiaTheme="minorHAnsi"/>
          <w:sz w:val="24"/>
          <w:szCs w:val="24"/>
        </w:rPr>
        <w:t>esta información</w:t>
      </w:r>
      <w:r w:rsidR="00781543">
        <w:rPr>
          <w:rFonts w:eastAsiaTheme="minorHAnsi"/>
          <w:sz w:val="24"/>
          <w:szCs w:val="24"/>
        </w:rPr>
        <w:t xml:space="preserve"> ingresando </w:t>
      </w:r>
      <w:r w:rsidR="00694FE0">
        <w:rPr>
          <w:rFonts w:eastAsiaTheme="minorHAnsi"/>
          <w:sz w:val="24"/>
          <w:szCs w:val="24"/>
        </w:rPr>
        <w:t xml:space="preserve">a la plataforma </w:t>
      </w:r>
      <w:commentRangeStart w:id="6"/>
      <w:r w:rsidR="00A5193B" w:rsidRPr="00694FE0">
        <w:rPr>
          <w:rFonts w:eastAsiaTheme="minorHAnsi"/>
          <w:b/>
          <w:color w:val="000000" w:themeColor="text1"/>
          <w:sz w:val="24"/>
          <w:szCs w:val="24"/>
        </w:rPr>
        <w:fldChar w:fldCharType="begin"/>
      </w:r>
      <w:r w:rsidR="00694FE0" w:rsidRPr="00694FE0">
        <w:rPr>
          <w:rFonts w:eastAsiaTheme="minorHAnsi"/>
          <w:b/>
          <w:color w:val="000000" w:themeColor="text1"/>
          <w:sz w:val="24"/>
          <w:szCs w:val="24"/>
        </w:rPr>
        <w:instrText xml:space="preserve"> HYPERLINK "http://www.monitorciudadano.co" </w:instrText>
      </w:r>
      <w:r w:rsidR="00A5193B" w:rsidRPr="00694FE0">
        <w:rPr>
          <w:rFonts w:eastAsiaTheme="minorHAnsi"/>
          <w:b/>
          <w:color w:val="000000" w:themeColor="text1"/>
          <w:sz w:val="24"/>
          <w:szCs w:val="24"/>
        </w:rPr>
        <w:fldChar w:fldCharType="separate"/>
      </w:r>
      <w:proofErr w:type="spellStart"/>
      <w:r w:rsidR="00694FE0" w:rsidRPr="00694FE0">
        <w:rPr>
          <w:rStyle w:val="Hipervnculo"/>
          <w:rFonts w:eastAsiaTheme="minorHAnsi"/>
          <w:b/>
          <w:color w:val="000000" w:themeColor="text1"/>
          <w:sz w:val="24"/>
          <w:szCs w:val="24"/>
        </w:rPr>
        <w:t>www.monitorciudadano.co</w:t>
      </w:r>
      <w:proofErr w:type="spellEnd"/>
      <w:r w:rsidR="00A5193B" w:rsidRPr="00694FE0">
        <w:rPr>
          <w:rFonts w:eastAsiaTheme="minorHAnsi"/>
          <w:b/>
          <w:color w:val="000000" w:themeColor="text1"/>
          <w:sz w:val="24"/>
          <w:szCs w:val="24"/>
        </w:rPr>
        <w:fldChar w:fldCharType="end"/>
      </w:r>
      <w:r w:rsidR="00694FE0">
        <w:rPr>
          <w:rFonts w:eastAsiaTheme="minorHAnsi"/>
          <w:sz w:val="24"/>
          <w:szCs w:val="24"/>
        </w:rPr>
        <w:t xml:space="preserve"> </w:t>
      </w:r>
      <w:commentRangeEnd w:id="6"/>
      <w:r w:rsidR="00694FE0">
        <w:rPr>
          <w:rStyle w:val="Refdecomentario"/>
          <w:rFonts w:ascii="Calibri" w:eastAsia="Calibri" w:hAnsi="Calibri" w:cs="Times New Roman"/>
        </w:rPr>
        <w:commentReference w:id="6"/>
      </w:r>
      <w:r w:rsidR="00781543">
        <w:rPr>
          <w:rFonts w:eastAsiaTheme="minorHAnsi"/>
          <w:sz w:val="24"/>
          <w:szCs w:val="24"/>
        </w:rPr>
        <w:t xml:space="preserve"> </w:t>
      </w:r>
    </w:p>
    <w:p w:rsidR="00B208ED" w:rsidRDefault="00B208ED" w:rsidP="00B208ED">
      <w:pPr>
        <w:pStyle w:val="Textonotapie"/>
        <w:jc w:val="both"/>
        <w:rPr>
          <w:rFonts w:eastAsiaTheme="minorHAnsi"/>
          <w:b/>
          <w:sz w:val="24"/>
          <w:szCs w:val="24"/>
        </w:rPr>
      </w:pPr>
    </w:p>
    <w:p w:rsidR="00B208ED" w:rsidRPr="00026591" w:rsidRDefault="00BE4892" w:rsidP="00B208ED">
      <w:pPr>
        <w:pStyle w:val="Textonotapie"/>
        <w:jc w:val="both"/>
        <w:rPr>
          <w:rFonts w:asciiTheme="majorHAnsi" w:eastAsiaTheme="majorEastAsia" w:hAnsiTheme="majorHAnsi" w:cstheme="majorBidi"/>
          <w:b/>
          <w:color w:val="000000" w:themeColor="text1"/>
          <w:sz w:val="28"/>
          <w:szCs w:val="36"/>
        </w:rPr>
      </w:pPr>
      <w:r>
        <w:rPr>
          <w:rFonts w:asciiTheme="majorHAnsi" w:eastAsiaTheme="majorEastAsia" w:hAnsiTheme="majorHAnsi" w:cstheme="majorBidi"/>
          <w:b/>
          <w:color w:val="000000" w:themeColor="text1"/>
          <w:sz w:val="28"/>
          <w:szCs w:val="36"/>
        </w:rPr>
        <w:t xml:space="preserve">El informe </w:t>
      </w:r>
      <w:r w:rsidR="006326BA">
        <w:rPr>
          <w:rFonts w:asciiTheme="majorHAnsi" w:eastAsiaTheme="majorEastAsia" w:hAnsiTheme="majorHAnsi" w:cstheme="majorBidi"/>
          <w:b/>
          <w:color w:val="000000" w:themeColor="text1"/>
          <w:sz w:val="28"/>
          <w:szCs w:val="36"/>
        </w:rPr>
        <w:t>2016-2018</w:t>
      </w:r>
    </w:p>
    <w:p w:rsidR="00B208ED" w:rsidRDefault="00B208ED" w:rsidP="00B208ED">
      <w:pPr>
        <w:pStyle w:val="Sinespaciado"/>
        <w:jc w:val="both"/>
        <w:rPr>
          <w:rFonts w:eastAsiaTheme="minorHAnsi"/>
          <w:sz w:val="24"/>
          <w:szCs w:val="24"/>
        </w:rPr>
      </w:pPr>
    </w:p>
    <w:p w:rsidR="00B208ED" w:rsidRDefault="00B208ED" w:rsidP="00B208ED">
      <w:pPr>
        <w:pStyle w:val="Sinespaciado"/>
        <w:jc w:val="both"/>
        <w:rPr>
          <w:rFonts w:eastAsiaTheme="minorHAnsi"/>
          <w:sz w:val="24"/>
          <w:szCs w:val="24"/>
        </w:rPr>
      </w:pPr>
      <w:r w:rsidRPr="00042103">
        <w:rPr>
          <w:rFonts w:eastAsiaTheme="minorHAnsi"/>
          <w:sz w:val="24"/>
          <w:szCs w:val="24"/>
        </w:rPr>
        <w:t>La corrupción</w:t>
      </w:r>
      <w:r w:rsidR="003551DF">
        <w:rPr>
          <w:rFonts w:eastAsiaTheme="minorHAnsi"/>
          <w:sz w:val="24"/>
          <w:szCs w:val="24"/>
        </w:rPr>
        <w:t xml:space="preserve"> </w:t>
      </w:r>
      <w:r w:rsidRPr="00042103">
        <w:rPr>
          <w:rFonts w:eastAsiaTheme="minorHAnsi"/>
          <w:sz w:val="24"/>
          <w:szCs w:val="24"/>
        </w:rPr>
        <w:t>es un fenómeno que afecta la legitimi</w:t>
      </w:r>
      <w:r>
        <w:rPr>
          <w:rFonts w:eastAsiaTheme="minorHAnsi"/>
          <w:sz w:val="24"/>
          <w:szCs w:val="24"/>
        </w:rPr>
        <w:t>dad y la confianza en el Estado y se convierte en</w:t>
      </w:r>
      <w:r w:rsidRPr="00042103">
        <w:rPr>
          <w:rFonts w:eastAsiaTheme="minorHAnsi"/>
          <w:sz w:val="24"/>
          <w:szCs w:val="24"/>
        </w:rPr>
        <w:t xml:space="preserve"> un obstáculo</w:t>
      </w:r>
      <w:r>
        <w:rPr>
          <w:rFonts w:eastAsiaTheme="minorHAnsi"/>
          <w:sz w:val="24"/>
          <w:szCs w:val="24"/>
        </w:rPr>
        <w:t xml:space="preserve"> principal</w:t>
      </w:r>
      <w:r w:rsidRPr="00042103">
        <w:rPr>
          <w:rFonts w:eastAsiaTheme="minorHAnsi"/>
          <w:sz w:val="24"/>
          <w:szCs w:val="24"/>
        </w:rPr>
        <w:t xml:space="preserve"> para lograr el desarrollo sostenible de una comunidad o de un país.</w:t>
      </w:r>
      <w:r>
        <w:rPr>
          <w:rFonts w:eastAsiaTheme="minorHAnsi"/>
          <w:sz w:val="24"/>
          <w:szCs w:val="24"/>
        </w:rPr>
        <w:t xml:space="preserve"> Las implicaciones de este fenómeno alcanzan un impacto tan amplio que </w:t>
      </w:r>
      <w:r w:rsidRPr="00042103">
        <w:rPr>
          <w:rFonts w:eastAsiaTheme="minorHAnsi"/>
          <w:sz w:val="24"/>
          <w:szCs w:val="24"/>
        </w:rPr>
        <w:t>vulnera</w:t>
      </w:r>
      <w:r>
        <w:rPr>
          <w:rFonts w:eastAsiaTheme="minorHAnsi"/>
          <w:sz w:val="24"/>
          <w:szCs w:val="24"/>
        </w:rPr>
        <w:t xml:space="preserve"> de manera directa los </w:t>
      </w:r>
      <w:r w:rsidRPr="00042103">
        <w:rPr>
          <w:rFonts w:eastAsiaTheme="minorHAnsi"/>
          <w:sz w:val="24"/>
          <w:szCs w:val="24"/>
        </w:rPr>
        <w:t>derechos humanos fundamentales</w:t>
      </w:r>
      <w:r>
        <w:rPr>
          <w:rFonts w:eastAsiaTheme="minorHAnsi"/>
          <w:sz w:val="24"/>
          <w:szCs w:val="24"/>
        </w:rPr>
        <w:t xml:space="preserve"> de las personas,</w:t>
      </w:r>
      <w:r w:rsidRPr="00042103">
        <w:rPr>
          <w:rFonts w:eastAsiaTheme="minorHAnsi"/>
          <w:sz w:val="24"/>
          <w:szCs w:val="24"/>
        </w:rPr>
        <w:t xml:space="preserve"> genera </w:t>
      </w:r>
      <w:r>
        <w:rPr>
          <w:rFonts w:eastAsiaTheme="minorHAnsi"/>
          <w:sz w:val="24"/>
          <w:szCs w:val="24"/>
        </w:rPr>
        <w:t xml:space="preserve">mayor </w:t>
      </w:r>
      <w:r w:rsidRPr="00042103">
        <w:rPr>
          <w:rFonts w:eastAsiaTheme="minorHAnsi"/>
          <w:sz w:val="24"/>
          <w:szCs w:val="24"/>
        </w:rPr>
        <w:t>exclusión y debilita</w:t>
      </w:r>
      <w:r>
        <w:rPr>
          <w:rFonts w:eastAsiaTheme="minorHAnsi"/>
          <w:sz w:val="24"/>
          <w:szCs w:val="24"/>
        </w:rPr>
        <w:t xml:space="preserve"> </w:t>
      </w:r>
      <w:r w:rsidRPr="00042103">
        <w:rPr>
          <w:rFonts w:eastAsiaTheme="minorHAnsi"/>
          <w:sz w:val="24"/>
          <w:szCs w:val="24"/>
        </w:rPr>
        <w:t>la democracia.</w:t>
      </w:r>
      <w:r>
        <w:rPr>
          <w:rFonts w:eastAsiaTheme="minorHAnsi"/>
          <w:sz w:val="24"/>
          <w:szCs w:val="24"/>
        </w:rPr>
        <w:t xml:space="preserve"> </w:t>
      </w:r>
    </w:p>
    <w:p w:rsidR="00B208ED" w:rsidRDefault="00B208ED" w:rsidP="00B208ED">
      <w:pPr>
        <w:pStyle w:val="Sinespaciado"/>
        <w:jc w:val="both"/>
        <w:rPr>
          <w:rFonts w:eastAsiaTheme="minorHAnsi"/>
          <w:sz w:val="24"/>
          <w:szCs w:val="24"/>
        </w:rPr>
      </w:pPr>
    </w:p>
    <w:p w:rsidR="00B208ED" w:rsidRDefault="00B208ED" w:rsidP="00B208ED">
      <w:pPr>
        <w:pStyle w:val="Sinespaciado"/>
        <w:jc w:val="both"/>
        <w:rPr>
          <w:rFonts w:eastAsiaTheme="minorHAnsi"/>
          <w:sz w:val="24"/>
          <w:szCs w:val="24"/>
        </w:rPr>
      </w:pPr>
      <w:r>
        <w:rPr>
          <w:rFonts w:eastAsiaTheme="minorHAnsi"/>
          <w:sz w:val="24"/>
          <w:szCs w:val="24"/>
        </w:rPr>
        <w:t xml:space="preserve">El presente informe ofrece una radiografía, diagnóstico y análisis de las manifestaciones y dinámicas de la corrupción en el país, buscando responder a los siguientes interrogantes: ¿Cuáles fueron los hechos </w:t>
      </w:r>
      <w:r w:rsidRPr="00A2102B">
        <w:rPr>
          <w:rFonts w:eastAsiaTheme="minorHAnsi"/>
          <w:sz w:val="24"/>
          <w:szCs w:val="24"/>
        </w:rPr>
        <w:t xml:space="preserve">de corrupción </w:t>
      </w:r>
      <w:r>
        <w:rPr>
          <w:rFonts w:eastAsiaTheme="minorHAnsi"/>
          <w:sz w:val="24"/>
          <w:szCs w:val="24"/>
        </w:rPr>
        <w:t xml:space="preserve">ocurridos, reportados y sancionados </w:t>
      </w:r>
      <w:r w:rsidRPr="00A2102B">
        <w:rPr>
          <w:rFonts w:eastAsiaTheme="minorHAnsi"/>
          <w:sz w:val="24"/>
          <w:szCs w:val="24"/>
        </w:rPr>
        <w:t xml:space="preserve">en Colombia entre </w:t>
      </w:r>
      <w:r>
        <w:rPr>
          <w:rFonts w:eastAsiaTheme="minorHAnsi"/>
          <w:sz w:val="24"/>
          <w:szCs w:val="24"/>
        </w:rPr>
        <w:t xml:space="preserve">enero del </w:t>
      </w:r>
      <w:r w:rsidRPr="00A2102B">
        <w:rPr>
          <w:rFonts w:eastAsiaTheme="minorHAnsi"/>
          <w:sz w:val="24"/>
          <w:szCs w:val="24"/>
        </w:rPr>
        <w:t>2016 y</w:t>
      </w:r>
      <w:r>
        <w:rPr>
          <w:rFonts w:eastAsiaTheme="minorHAnsi"/>
          <w:sz w:val="24"/>
          <w:szCs w:val="24"/>
        </w:rPr>
        <w:t xml:space="preserve"> julio del </w:t>
      </w:r>
      <w:r w:rsidRPr="00A2102B">
        <w:rPr>
          <w:rFonts w:eastAsiaTheme="minorHAnsi"/>
          <w:sz w:val="24"/>
          <w:szCs w:val="24"/>
        </w:rPr>
        <w:t>2018</w:t>
      </w:r>
      <w:r>
        <w:rPr>
          <w:rStyle w:val="Refdenotaalpie"/>
          <w:rFonts w:eastAsiaTheme="minorHAnsi"/>
          <w:sz w:val="24"/>
          <w:szCs w:val="24"/>
        </w:rPr>
        <w:footnoteReference w:id="4"/>
      </w:r>
      <w:r w:rsidRPr="00A2102B">
        <w:rPr>
          <w:rFonts w:eastAsiaTheme="minorHAnsi"/>
          <w:sz w:val="24"/>
          <w:szCs w:val="24"/>
        </w:rPr>
        <w:t>? ¿</w:t>
      </w:r>
      <w:r>
        <w:rPr>
          <w:rFonts w:eastAsiaTheme="minorHAnsi"/>
          <w:sz w:val="24"/>
          <w:szCs w:val="24"/>
        </w:rPr>
        <w:t xml:space="preserve">Qué actores tanto individuales como colectivos se vieron involucrados en dichos hechos? ¿Cuáles fueron los sectores mayormente afectados por los hechos de corrupción reportados? ¿Cuál ha sido la repercusión de estos hechos en el goce efectivo y garantía de derechos humanos? y ¿Cómo han sido sancionados dichos hechos por los distintos órganos de control? </w:t>
      </w:r>
    </w:p>
    <w:p w:rsidR="00B208ED" w:rsidRDefault="00B208ED" w:rsidP="00B208ED">
      <w:pPr>
        <w:pStyle w:val="Sinespaciado"/>
        <w:jc w:val="both"/>
        <w:rPr>
          <w:rFonts w:eastAsiaTheme="minorHAnsi"/>
          <w:sz w:val="24"/>
          <w:szCs w:val="24"/>
        </w:rPr>
      </w:pPr>
    </w:p>
    <w:p w:rsidR="00B208ED" w:rsidRPr="00A2102B" w:rsidRDefault="00B208ED" w:rsidP="00B208ED">
      <w:pPr>
        <w:pStyle w:val="Sinespaciado"/>
        <w:jc w:val="both"/>
        <w:rPr>
          <w:rFonts w:eastAsiaTheme="minorHAnsi"/>
          <w:sz w:val="24"/>
          <w:szCs w:val="24"/>
        </w:rPr>
      </w:pPr>
      <w:r w:rsidRPr="009235F4">
        <w:rPr>
          <w:rFonts w:eastAsiaTheme="minorHAnsi"/>
          <w:sz w:val="24"/>
          <w:szCs w:val="24"/>
        </w:rPr>
        <w:t>Para efectos de</w:t>
      </w:r>
      <w:r>
        <w:rPr>
          <w:rFonts w:eastAsiaTheme="minorHAnsi"/>
          <w:sz w:val="24"/>
          <w:szCs w:val="24"/>
        </w:rPr>
        <w:t>l análisis conceptual,</w:t>
      </w:r>
      <w:r w:rsidRPr="009235F4">
        <w:rPr>
          <w:rFonts w:eastAsiaTheme="minorHAnsi"/>
          <w:sz w:val="24"/>
          <w:szCs w:val="24"/>
        </w:rPr>
        <w:t xml:space="preserve"> se </w:t>
      </w:r>
      <w:r>
        <w:rPr>
          <w:rFonts w:eastAsiaTheme="minorHAnsi"/>
          <w:sz w:val="24"/>
          <w:szCs w:val="24"/>
        </w:rPr>
        <w:t xml:space="preserve">define </w:t>
      </w:r>
      <w:r w:rsidRPr="009235F4">
        <w:rPr>
          <w:rFonts w:eastAsiaTheme="minorHAnsi"/>
          <w:sz w:val="24"/>
          <w:szCs w:val="24"/>
        </w:rPr>
        <w:t xml:space="preserve">un hecho de corrupción </w:t>
      </w:r>
      <w:r>
        <w:rPr>
          <w:rFonts w:eastAsiaTheme="minorHAnsi"/>
          <w:sz w:val="24"/>
          <w:szCs w:val="24"/>
        </w:rPr>
        <w:t xml:space="preserve">como </w:t>
      </w:r>
      <w:r w:rsidRPr="009235F4">
        <w:rPr>
          <w:rFonts w:eastAsiaTheme="minorHAnsi"/>
          <w:sz w:val="24"/>
          <w:szCs w:val="24"/>
        </w:rPr>
        <w:t xml:space="preserve">la </w:t>
      </w:r>
      <w:r>
        <w:rPr>
          <w:rFonts w:eastAsiaTheme="minorHAnsi"/>
          <w:sz w:val="24"/>
          <w:szCs w:val="24"/>
        </w:rPr>
        <w:t xml:space="preserve">ocurrencia de </w:t>
      </w:r>
      <w:r w:rsidRPr="009235F4">
        <w:rPr>
          <w:rFonts w:eastAsiaTheme="minorHAnsi"/>
          <w:sz w:val="24"/>
          <w:szCs w:val="24"/>
        </w:rPr>
        <w:t>irregularidades o conductas ilegales reportadas en notas de prensa nacional y/o regional que respond</w:t>
      </w:r>
      <w:r>
        <w:rPr>
          <w:rFonts w:eastAsiaTheme="minorHAnsi"/>
          <w:sz w:val="24"/>
          <w:szCs w:val="24"/>
        </w:rPr>
        <w:t>en</w:t>
      </w:r>
      <w:r w:rsidRPr="009235F4">
        <w:rPr>
          <w:rFonts w:eastAsiaTheme="minorHAnsi"/>
          <w:sz w:val="24"/>
          <w:szCs w:val="24"/>
        </w:rPr>
        <w:t xml:space="preserve"> a las definici</w:t>
      </w:r>
      <w:r>
        <w:rPr>
          <w:rFonts w:eastAsiaTheme="minorHAnsi"/>
          <w:sz w:val="24"/>
          <w:szCs w:val="24"/>
        </w:rPr>
        <w:t>ó</w:t>
      </w:r>
      <w:r w:rsidRPr="009235F4">
        <w:rPr>
          <w:rFonts w:eastAsiaTheme="minorHAnsi"/>
          <w:sz w:val="24"/>
          <w:szCs w:val="24"/>
        </w:rPr>
        <w:t>n de corrupción manejada por Transparencia por Colombia</w:t>
      </w:r>
      <w:r>
        <w:rPr>
          <w:rFonts w:eastAsiaTheme="minorHAnsi"/>
          <w:sz w:val="24"/>
          <w:szCs w:val="24"/>
        </w:rPr>
        <w:t xml:space="preserve">, entendida como </w:t>
      </w:r>
      <w:r w:rsidRPr="009235F4">
        <w:rPr>
          <w:rFonts w:eastAsiaTheme="minorHAnsi"/>
          <w:sz w:val="24"/>
          <w:szCs w:val="24"/>
        </w:rPr>
        <w:t xml:space="preserve">aquel </w:t>
      </w:r>
      <w:r w:rsidRPr="009235F4">
        <w:rPr>
          <w:rFonts w:eastAsiaTheme="minorHAnsi"/>
          <w:i/>
          <w:sz w:val="24"/>
          <w:szCs w:val="24"/>
        </w:rPr>
        <w:t>abuso de posiciones de poder o de confianza, para el beneficio particular en detrimento del interés colectivo, realizado a través de ofrecer o solicitar, entregar o recibir bienes o dinero en especie, en servicios o beneficios, a cambio de acciones, decisiones u omisiones</w:t>
      </w:r>
      <w:r w:rsidRPr="009235F4">
        <w:rPr>
          <w:rFonts w:eastAsiaTheme="minorHAnsi"/>
          <w:sz w:val="24"/>
          <w:szCs w:val="24"/>
        </w:rPr>
        <w:t>. Entendiendo la corrupción como un fenómeno sistémico que puede clasificarse de diferentes formas y devela prácticas particulares</w:t>
      </w:r>
      <w:r>
        <w:rPr>
          <w:rFonts w:eastAsiaTheme="minorHAnsi"/>
          <w:sz w:val="24"/>
          <w:szCs w:val="24"/>
        </w:rPr>
        <w:t xml:space="preserve">, se tomaron en cuenta </w:t>
      </w:r>
      <w:r w:rsidRPr="009235F4">
        <w:rPr>
          <w:rFonts w:eastAsiaTheme="minorHAnsi"/>
          <w:sz w:val="24"/>
          <w:szCs w:val="24"/>
        </w:rPr>
        <w:t xml:space="preserve">los tipos de corrupción que han sido </w:t>
      </w:r>
      <w:r w:rsidR="00FE5795">
        <w:rPr>
          <w:rFonts w:eastAsiaTheme="minorHAnsi"/>
          <w:sz w:val="24"/>
          <w:szCs w:val="24"/>
        </w:rPr>
        <w:t>analizados</w:t>
      </w:r>
      <w:r w:rsidR="00FE5795" w:rsidRPr="009235F4">
        <w:rPr>
          <w:rFonts w:eastAsiaTheme="minorHAnsi"/>
          <w:sz w:val="24"/>
          <w:szCs w:val="24"/>
        </w:rPr>
        <w:t xml:space="preserve"> </w:t>
      </w:r>
      <w:r w:rsidRPr="009235F4">
        <w:rPr>
          <w:rFonts w:eastAsiaTheme="minorHAnsi"/>
          <w:sz w:val="24"/>
          <w:szCs w:val="24"/>
        </w:rPr>
        <w:t xml:space="preserve">tradicionalmente por </w:t>
      </w:r>
      <w:r w:rsidRPr="009235F4">
        <w:rPr>
          <w:rFonts w:eastAsiaTheme="minorHAnsi"/>
          <w:sz w:val="24"/>
          <w:szCs w:val="24"/>
        </w:rPr>
        <w:lastRenderedPageBreak/>
        <w:t>Transparencia por Colombia</w:t>
      </w:r>
      <w:r>
        <w:rPr>
          <w:rStyle w:val="Refdenotaalpie"/>
          <w:rFonts w:eastAsiaTheme="minorHAnsi"/>
          <w:sz w:val="24"/>
          <w:szCs w:val="24"/>
        </w:rPr>
        <w:footnoteReference w:id="5"/>
      </w:r>
      <w:r w:rsidRPr="009235F4">
        <w:rPr>
          <w:rFonts w:eastAsiaTheme="minorHAnsi"/>
          <w:sz w:val="24"/>
          <w:szCs w:val="24"/>
        </w:rPr>
        <w:t xml:space="preserve"> </w:t>
      </w:r>
      <w:r>
        <w:rPr>
          <w:rFonts w:eastAsiaTheme="minorHAnsi"/>
          <w:sz w:val="24"/>
          <w:szCs w:val="24"/>
        </w:rPr>
        <w:t xml:space="preserve">y se incorporaron como </w:t>
      </w:r>
      <w:r w:rsidRPr="009235F4">
        <w:rPr>
          <w:rFonts w:eastAsiaTheme="minorHAnsi"/>
          <w:sz w:val="24"/>
          <w:szCs w:val="24"/>
        </w:rPr>
        <w:t>variables</w:t>
      </w:r>
      <w:r>
        <w:rPr>
          <w:rFonts w:eastAsiaTheme="minorHAnsi"/>
          <w:sz w:val="24"/>
          <w:szCs w:val="24"/>
        </w:rPr>
        <w:t xml:space="preserve"> de </w:t>
      </w:r>
      <w:r w:rsidRPr="009235F4">
        <w:rPr>
          <w:rFonts w:eastAsiaTheme="minorHAnsi"/>
          <w:sz w:val="24"/>
          <w:szCs w:val="24"/>
        </w:rPr>
        <w:t>clasificación de los hechos sistematizados en el Monitor Ciudadano.</w:t>
      </w:r>
    </w:p>
    <w:p w:rsidR="00B208ED" w:rsidRDefault="00B208ED" w:rsidP="00B208ED">
      <w:pPr>
        <w:pStyle w:val="Sinespaciado"/>
        <w:jc w:val="both"/>
        <w:rPr>
          <w:rFonts w:eastAsiaTheme="minorHAnsi"/>
          <w:sz w:val="24"/>
          <w:szCs w:val="24"/>
        </w:rPr>
      </w:pPr>
    </w:p>
    <w:p w:rsidR="00B208ED" w:rsidRDefault="00B208ED" w:rsidP="00B208ED">
      <w:pPr>
        <w:spacing w:after="0" w:line="240" w:lineRule="auto"/>
        <w:jc w:val="both"/>
        <w:rPr>
          <w:rFonts w:eastAsiaTheme="minorHAnsi"/>
          <w:sz w:val="24"/>
          <w:szCs w:val="24"/>
        </w:rPr>
      </w:pPr>
      <w:r w:rsidRPr="00AB17E0">
        <w:rPr>
          <w:rFonts w:eastAsiaTheme="minorHAnsi"/>
          <w:sz w:val="24"/>
          <w:szCs w:val="24"/>
        </w:rPr>
        <w:t>La delimitación cronológica del periodo de</w:t>
      </w:r>
      <w:r w:rsidRPr="00AB17E0">
        <w:rPr>
          <w:sz w:val="24"/>
          <w:szCs w:val="24"/>
        </w:rPr>
        <w:t xml:space="preserve"> investigación de hechos de corrupción va desde el 1 de enero del 2016 </w:t>
      </w:r>
      <w:r w:rsidRPr="00AB17E0">
        <w:rPr>
          <w:rFonts w:eastAsiaTheme="minorHAnsi"/>
          <w:sz w:val="24"/>
          <w:szCs w:val="24"/>
        </w:rPr>
        <w:t xml:space="preserve">hasta el 31 julio del 2018. Este periodo fue definido en función de tres momentos esenciales. Primero, el 2016 marcó la llegada al Acuerdo Final para la terminación del conflicto entre el Estado colombiano y la guerrilla de las FARC-EP, convirtiéndose en un momento histórico en la historia del país. </w:t>
      </w:r>
    </w:p>
    <w:p w:rsidR="00B208ED" w:rsidRDefault="00B208ED" w:rsidP="00B208ED">
      <w:pPr>
        <w:spacing w:after="0" w:line="240" w:lineRule="auto"/>
        <w:jc w:val="both"/>
        <w:rPr>
          <w:rFonts w:eastAsiaTheme="minorHAnsi"/>
          <w:sz w:val="24"/>
          <w:szCs w:val="24"/>
        </w:rPr>
      </w:pPr>
    </w:p>
    <w:p w:rsidR="00B208ED" w:rsidRDefault="00B208ED" w:rsidP="00B208ED">
      <w:pPr>
        <w:spacing w:after="0" w:line="240" w:lineRule="auto"/>
        <w:jc w:val="both"/>
        <w:rPr>
          <w:rFonts w:ascii="roboto_slab_regular" w:hAnsi="roboto_slab_regular"/>
          <w:color w:val="393939"/>
          <w:sz w:val="18"/>
          <w:szCs w:val="18"/>
        </w:rPr>
      </w:pPr>
      <w:r w:rsidRPr="00AB17E0">
        <w:rPr>
          <w:rFonts w:eastAsiaTheme="minorHAnsi"/>
          <w:sz w:val="24"/>
          <w:szCs w:val="24"/>
        </w:rPr>
        <w:t xml:space="preserve">En segundo lugar, </w:t>
      </w:r>
      <w:r>
        <w:rPr>
          <w:sz w:val="24"/>
          <w:szCs w:val="24"/>
        </w:rPr>
        <w:t>e</w:t>
      </w:r>
      <w:r w:rsidRPr="00AB17E0">
        <w:rPr>
          <w:sz w:val="24"/>
          <w:szCs w:val="24"/>
        </w:rPr>
        <w:t xml:space="preserve">ntre 2016 y 2018 </w:t>
      </w:r>
      <w:r>
        <w:rPr>
          <w:sz w:val="24"/>
          <w:szCs w:val="24"/>
        </w:rPr>
        <w:t xml:space="preserve">se </w:t>
      </w:r>
      <w:r w:rsidRPr="00AB17E0">
        <w:rPr>
          <w:sz w:val="24"/>
          <w:szCs w:val="24"/>
        </w:rPr>
        <w:t xml:space="preserve">evidenció </w:t>
      </w:r>
      <w:r>
        <w:rPr>
          <w:sz w:val="24"/>
          <w:szCs w:val="24"/>
        </w:rPr>
        <w:t xml:space="preserve">en el país </w:t>
      </w:r>
      <w:r w:rsidRPr="00AB17E0">
        <w:rPr>
          <w:sz w:val="24"/>
          <w:szCs w:val="24"/>
        </w:rPr>
        <w:t xml:space="preserve">un aumento </w:t>
      </w:r>
      <w:r>
        <w:rPr>
          <w:sz w:val="24"/>
          <w:szCs w:val="24"/>
        </w:rPr>
        <w:t xml:space="preserve">de la exposición pública y </w:t>
      </w:r>
      <w:r w:rsidRPr="000550BA">
        <w:rPr>
          <w:rFonts w:eastAsiaTheme="minorHAnsi"/>
          <w:sz w:val="24"/>
          <w:szCs w:val="24"/>
        </w:rPr>
        <w:t>cubrimiento mediático de casos de corrupción</w:t>
      </w:r>
      <w:r w:rsidRPr="000550BA">
        <w:rPr>
          <w:rStyle w:val="Refdenotaalfinal"/>
        </w:rPr>
        <w:footnoteReference w:id="6"/>
      </w:r>
      <w:r w:rsidR="00F03788">
        <w:t>.</w:t>
      </w:r>
      <w:r w:rsidRPr="000550BA">
        <w:rPr>
          <w:rFonts w:eastAsiaTheme="minorHAnsi"/>
          <w:sz w:val="24"/>
          <w:szCs w:val="24"/>
        </w:rPr>
        <w:t xml:space="preserve"> Estos casos dados a conocer por los medios de comunicación deterioran cada vez más la confianza de los colombianos en las instituciones</w:t>
      </w:r>
      <w:r>
        <w:rPr>
          <w:rFonts w:eastAsiaTheme="minorHAnsi"/>
          <w:sz w:val="24"/>
          <w:szCs w:val="24"/>
        </w:rPr>
        <w:t>, además, dicha</w:t>
      </w:r>
      <w:r w:rsidRPr="000550BA">
        <w:rPr>
          <w:rFonts w:eastAsiaTheme="minorHAnsi"/>
          <w:sz w:val="24"/>
          <w:szCs w:val="24"/>
        </w:rPr>
        <w:t xml:space="preserve"> </w:t>
      </w:r>
      <w:r>
        <w:rPr>
          <w:rFonts w:eastAsiaTheme="minorHAnsi"/>
          <w:sz w:val="24"/>
          <w:szCs w:val="24"/>
        </w:rPr>
        <w:t xml:space="preserve">sensación se vincula al estancamiento en la </w:t>
      </w:r>
      <w:r w:rsidRPr="000550BA">
        <w:rPr>
          <w:rFonts w:eastAsiaTheme="minorHAnsi"/>
          <w:sz w:val="24"/>
          <w:szCs w:val="24"/>
        </w:rPr>
        <w:t>percepción de corrupción, donde Colombia</w:t>
      </w:r>
      <w:r>
        <w:rPr>
          <w:rFonts w:eastAsiaTheme="minorHAnsi"/>
          <w:sz w:val="24"/>
          <w:szCs w:val="24"/>
        </w:rPr>
        <w:t xml:space="preserve">, según el Índice de Percepción de Corrupción- IPC 2018 </w:t>
      </w:r>
      <w:r w:rsidRPr="000550BA">
        <w:rPr>
          <w:rFonts w:eastAsiaTheme="minorHAnsi"/>
          <w:sz w:val="24"/>
          <w:szCs w:val="24"/>
        </w:rPr>
        <w:t xml:space="preserve"> </w:t>
      </w:r>
      <w:r w:rsidR="00F03788">
        <w:rPr>
          <w:rFonts w:eastAsiaTheme="minorHAnsi"/>
          <w:sz w:val="24"/>
          <w:szCs w:val="24"/>
        </w:rPr>
        <w:t xml:space="preserve">logró un puntaje de tan solo 36/100 y </w:t>
      </w:r>
      <w:r w:rsidRPr="000550BA">
        <w:rPr>
          <w:rFonts w:eastAsiaTheme="minorHAnsi"/>
          <w:sz w:val="24"/>
          <w:szCs w:val="24"/>
        </w:rPr>
        <w:t>retrocedió del puesto 96 al 99, entre 180 países evaluados</w:t>
      </w:r>
      <w:r>
        <w:rPr>
          <w:rFonts w:eastAsiaTheme="minorHAnsi"/>
          <w:sz w:val="24"/>
          <w:szCs w:val="24"/>
        </w:rPr>
        <w:t xml:space="preserve">, volviendo </w:t>
      </w:r>
      <w:r w:rsidRPr="000550BA">
        <w:rPr>
          <w:rFonts w:eastAsiaTheme="minorHAnsi"/>
          <w:sz w:val="24"/>
          <w:szCs w:val="24"/>
        </w:rPr>
        <w:t>a los niveles del 2012</w:t>
      </w:r>
      <w:r>
        <w:rPr>
          <w:rFonts w:eastAsiaTheme="minorHAnsi"/>
          <w:sz w:val="24"/>
          <w:szCs w:val="24"/>
        </w:rPr>
        <w:t xml:space="preserve">. </w:t>
      </w:r>
    </w:p>
    <w:p w:rsidR="00B208ED" w:rsidRPr="00AB17E0" w:rsidRDefault="00B208ED" w:rsidP="00B208ED">
      <w:pPr>
        <w:spacing w:after="0" w:line="240" w:lineRule="auto"/>
        <w:jc w:val="both"/>
        <w:rPr>
          <w:rFonts w:eastAsiaTheme="minorHAnsi"/>
          <w:sz w:val="24"/>
          <w:szCs w:val="24"/>
        </w:rPr>
      </w:pPr>
    </w:p>
    <w:p w:rsidR="00B208ED" w:rsidRDefault="00B208ED" w:rsidP="00B208ED">
      <w:pPr>
        <w:spacing w:after="0" w:line="240" w:lineRule="auto"/>
        <w:jc w:val="both"/>
        <w:rPr>
          <w:sz w:val="24"/>
          <w:szCs w:val="24"/>
        </w:rPr>
      </w:pPr>
      <w:r w:rsidRPr="000550BA">
        <w:rPr>
          <w:sz w:val="24"/>
          <w:szCs w:val="24"/>
        </w:rPr>
        <w:t xml:space="preserve">Por último, el primer semestre del 2018 se toma como </w:t>
      </w:r>
      <w:r>
        <w:rPr>
          <w:sz w:val="24"/>
          <w:szCs w:val="24"/>
        </w:rPr>
        <w:t xml:space="preserve">periodo </w:t>
      </w:r>
      <w:r w:rsidRPr="000550BA">
        <w:rPr>
          <w:sz w:val="24"/>
          <w:szCs w:val="24"/>
        </w:rPr>
        <w:t xml:space="preserve">final de la investigación respondiendo a una coyuntura de cambio de gobierno. Tras ocho años de Juan Manuel Santos como presidente, es elegido Iván Duque Márquez por el partido Centro Democrático. Bajo este contexto, el tema de lucha contra la corrupción </w:t>
      </w:r>
      <w:r>
        <w:rPr>
          <w:sz w:val="24"/>
          <w:szCs w:val="24"/>
        </w:rPr>
        <w:t xml:space="preserve">se posicionó como </w:t>
      </w:r>
      <w:r w:rsidRPr="000550BA">
        <w:rPr>
          <w:sz w:val="24"/>
          <w:szCs w:val="24"/>
        </w:rPr>
        <w:t>tema principal en la opinión pública y el debate ciudadano, muestra de ello es la importante votación que obtuvo la Consulta Anticorrupción</w:t>
      </w:r>
      <w:r>
        <w:rPr>
          <w:sz w:val="24"/>
          <w:szCs w:val="24"/>
        </w:rPr>
        <w:t xml:space="preserve">, </w:t>
      </w:r>
      <w:r w:rsidRPr="000550BA">
        <w:rPr>
          <w:sz w:val="24"/>
          <w:szCs w:val="24"/>
        </w:rPr>
        <w:t>reafirma</w:t>
      </w:r>
      <w:r>
        <w:rPr>
          <w:sz w:val="24"/>
          <w:szCs w:val="24"/>
        </w:rPr>
        <w:t>ndo</w:t>
      </w:r>
      <w:r w:rsidRPr="000550BA">
        <w:rPr>
          <w:sz w:val="24"/>
          <w:szCs w:val="24"/>
        </w:rPr>
        <w:t xml:space="preserve"> el rechazo total a </w:t>
      </w:r>
      <w:r>
        <w:rPr>
          <w:sz w:val="24"/>
          <w:szCs w:val="24"/>
        </w:rPr>
        <w:t xml:space="preserve">la corrupción </w:t>
      </w:r>
      <w:r w:rsidRPr="000550BA">
        <w:rPr>
          <w:sz w:val="24"/>
          <w:szCs w:val="24"/>
        </w:rPr>
        <w:t>y entreg</w:t>
      </w:r>
      <w:r>
        <w:rPr>
          <w:sz w:val="24"/>
          <w:szCs w:val="24"/>
        </w:rPr>
        <w:t>ando</w:t>
      </w:r>
      <w:r w:rsidRPr="000550BA">
        <w:rPr>
          <w:sz w:val="24"/>
          <w:szCs w:val="24"/>
        </w:rPr>
        <w:t xml:space="preserve"> un mandato para que los representantes políticos fortalecieran los instrumentos disponibles para luchar contra este crimen. </w:t>
      </w:r>
    </w:p>
    <w:p w:rsidR="00B208ED" w:rsidRDefault="00B208ED" w:rsidP="00B208ED">
      <w:pPr>
        <w:spacing w:after="0" w:line="240" w:lineRule="auto"/>
        <w:jc w:val="both"/>
        <w:rPr>
          <w:sz w:val="24"/>
          <w:szCs w:val="24"/>
        </w:rPr>
      </w:pPr>
    </w:p>
    <w:p w:rsidR="00B208ED" w:rsidRDefault="00B208ED" w:rsidP="00B208ED">
      <w:pPr>
        <w:spacing w:after="0" w:line="240" w:lineRule="auto"/>
        <w:jc w:val="both"/>
        <w:rPr>
          <w:sz w:val="24"/>
          <w:szCs w:val="24"/>
        </w:rPr>
      </w:pPr>
      <w:r>
        <w:rPr>
          <w:sz w:val="24"/>
          <w:szCs w:val="24"/>
        </w:rPr>
        <w:t>La investigación sobre hechos de corrupción se realizó mediante consulta y análisis de fuentes de prensa nacional y regional. Para ello se tomaron en cuenta los principales medios nacionales (</w:t>
      </w:r>
      <w:r w:rsidRPr="00AF0D1A">
        <w:rPr>
          <w:sz w:val="24"/>
          <w:szCs w:val="24"/>
        </w:rPr>
        <w:t>El Tiempo, El Espectador</w:t>
      </w:r>
      <w:r>
        <w:rPr>
          <w:sz w:val="24"/>
          <w:szCs w:val="24"/>
        </w:rPr>
        <w:t>, Revista Semana) y medios de prensa regionales (</w:t>
      </w:r>
      <w:r w:rsidRPr="00AF0D1A">
        <w:rPr>
          <w:sz w:val="24"/>
          <w:szCs w:val="24"/>
        </w:rPr>
        <w:t>El Heraldo, El Colombiano, El País, Vanguardia Liberal, El Universal</w:t>
      </w:r>
      <w:r w:rsidR="00F03788">
        <w:rPr>
          <w:sz w:val="24"/>
          <w:szCs w:val="24"/>
        </w:rPr>
        <w:t>,</w:t>
      </w:r>
      <w:r>
        <w:rPr>
          <w:sz w:val="24"/>
          <w:szCs w:val="24"/>
        </w:rPr>
        <w:t xml:space="preserve"> entre otros). La búsqueda de estas fuentes se facilitó gracias al uso de archivos de prensa digital como el del Centro de Investigación y Educación Popular-CINEP.</w:t>
      </w:r>
      <w:r>
        <w:rPr>
          <w:rStyle w:val="Refdenotaalpie"/>
          <w:sz w:val="24"/>
          <w:szCs w:val="24"/>
        </w:rPr>
        <w:footnoteReference w:id="7"/>
      </w:r>
      <w:r>
        <w:rPr>
          <w:sz w:val="24"/>
          <w:szCs w:val="24"/>
        </w:rPr>
        <w:t xml:space="preserve"> Además, se consultaron </w:t>
      </w:r>
      <w:r w:rsidR="00B02B7E">
        <w:rPr>
          <w:sz w:val="24"/>
          <w:szCs w:val="24"/>
        </w:rPr>
        <w:t xml:space="preserve">medios digitales </w:t>
      </w:r>
      <w:r w:rsidR="000A7405">
        <w:rPr>
          <w:sz w:val="24"/>
          <w:szCs w:val="24"/>
        </w:rPr>
        <w:t xml:space="preserve">no contemplados en </w:t>
      </w:r>
      <w:r w:rsidR="006E4ED9">
        <w:rPr>
          <w:sz w:val="24"/>
          <w:szCs w:val="24"/>
        </w:rPr>
        <w:t xml:space="preserve">la base </w:t>
      </w:r>
      <w:r w:rsidR="000A7405">
        <w:rPr>
          <w:sz w:val="24"/>
          <w:szCs w:val="24"/>
        </w:rPr>
        <w:t xml:space="preserve">CINEP </w:t>
      </w:r>
      <w:r w:rsidR="00B02B7E">
        <w:rPr>
          <w:sz w:val="24"/>
          <w:szCs w:val="24"/>
        </w:rPr>
        <w:t xml:space="preserve">y </w:t>
      </w:r>
      <w:r>
        <w:rPr>
          <w:sz w:val="24"/>
          <w:szCs w:val="24"/>
        </w:rPr>
        <w:t>b</w:t>
      </w:r>
      <w:r w:rsidRPr="002C1AEC">
        <w:rPr>
          <w:sz w:val="24"/>
          <w:szCs w:val="24"/>
        </w:rPr>
        <w:t xml:space="preserve">oletines de prensa de los Órganos de Control </w:t>
      </w:r>
      <w:r>
        <w:rPr>
          <w:sz w:val="24"/>
          <w:szCs w:val="24"/>
        </w:rPr>
        <w:t xml:space="preserve">de </w:t>
      </w:r>
      <w:r w:rsidRPr="002C1AEC">
        <w:rPr>
          <w:sz w:val="24"/>
          <w:szCs w:val="24"/>
        </w:rPr>
        <w:t>la Fiscalía General de la Nación, la Procuraduría General de la Nación y la Contraloría General de la República en el periodo cronológico definido</w:t>
      </w:r>
      <w:r>
        <w:rPr>
          <w:sz w:val="24"/>
          <w:szCs w:val="24"/>
        </w:rPr>
        <w:t xml:space="preserve">. </w:t>
      </w:r>
    </w:p>
    <w:p w:rsidR="006F059B" w:rsidRDefault="006F059B" w:rsidP="00B208ED">
      <w:pPr>
        <w:spacing w:after="0" w:line="240" w:lineRule="auto"/>
        <w:jc w:val="both"/>
        <w:rPr>
          <w:sz w:val="24"/>
          <w:szCs w:val="24"/>
        </w:rPr>
      </w:pPr>
    </w:p>
    <w:p w:rsidR="006F059B" w:rsidRDefault="006F059B" w:rsidP="00B208ED">
      <w:pPr>
        <w:spacing w:after="0" w:line="240" w:lineRule="auto"/>
        <w:jc w:val="both"/>
        <w:rPr>
          <w:sz w:val="24"/>
          <w:szCs w:val="24"/>
        </w:rPr>
      </w:pPr>
    </w:p>
    <w:p w:rsidR="00B208ED" w:rsidRDefault="006F059B" w:rsidP="006F059B">
      <w:pPr>
        <w:spacing w:line="240" w:lineRule="auto"/>
        <w:jc w:val="both"/>
        <w:rPr>
          <w:sz w:val="24"/>
          <w:szCs w:val="24"/>
        </w:rPr>
      </w:pPr>
      <w:r w:rsidRPr="006F059B">
        <w:rPr>
          <w:sz w:val="24"/>
          <w:szCs w:val="24"/>
        </w:rPr>
        <w:t>Si bien la presente radiografía de hechos de corrupción surge producto de una búsqueda rigurosa en notas de prensa nacional y regional, es pertinente mencionar que existen factores negativos en las condiciones de los territorios a la hora de realizar cubrimiento sobre casos de cor</w:t>
      </w:r>
      <w:r w:rsidR="00B02B7E">
        <w:rPr>
          <w:sz w:val="24"/>
          <w:szCs w:val="24"/>
        </w:rPr>
        <w:t>rupción.</w:t>
      </w:r>
      <w:r w:rsidR="004B6C41">
        <w:rPr>
          <w:sz w:val="24"/>
          <w:szCs w:val="24"/>
        </w:rPr>
        <w:t xml:space="preserve"> </w:t>
      </w:r>
      <w:r w:rsidRPr="006F059B">
        <w:rPr>
          <w:sz w:val="24"/>
          <w:szCs w:val="24"/>
        </w:rPr>
        <w:t>Se valora que los medios de comunicación cubran cada vez más el tema y ocupen un papel fundamental a la hora de denunciar casos</w:t>
      </w:r>
      <w:r w:rsidR="004B6C41">
        <w:rPr>
          <w:sz w:val="24"/>
          <w:szCs w:val="24"/>
        </w:rPr>
        <w:t xml:space="preserve"> de corrupción</w:t>
      </w:r>
      <w:r w:rsidRPr="006F059B">
        <w:rPr>
          <w:sz w:val="24"/>
          <w:szCs w:val="24"/>
        </w:rPr>
        <w:t xml:space="preserve">, no obstante, existen zonas aisladas del país en donde los periodistas dejan de investigar estos temas y se autocensuran por </w:t>
      </w:r>
      <w:r w:rsidR="004B6C41">
        <w:rPr>
          <w:sz w:val="24"/>
          <w:szCs w:val="24"/>
        </w:rPr>
        <w:t xml:space="preserve">diversos </w:t>
      </w:r>
      <w:r w:rsidRPr="006F059B">
        <w:rPr>
          <w:sz w:val="24"/>
          <w:szCs w:val="24"/>
        </w:rPr>
        <w:t>intereses políticos y económicos a nivel loc</w:t>
      </w:r>
      <w:r>
        <w:rPr>
          <w:sz w:val="24"/>
          <w:szCs w:val="24"/>
        </w:rPr>
        <w:t xml:space="preserve">al. </w:t>
      </w:r>
    </w:p>
    <w:p w:rsidR="005F2EEE" w:rsidRDefault="00AC3459">
      <w:pPr>
        <w:jc w:val="both"/>
        <w:rPr>
          <w:sz w:val="24"/>
        </w:rPr>
      </w:pPr>
      <w:r w:rsidRPr="00475DB1">
        <w:rPr>
          <w:sz w:val="24"/>
        </w:rPr>
        <w:t>Ahora bien, es necesario señalar que como en toda investigación se pueden ver cosas y otras se dejan d</w:t>
      </w:r>
      <w:r>
        <w:rPr>
          <w:sz w:val="24"/>
        </w:rPr>
        <w:t>e ver, pero e</w:t>
      </w:r>
      <w:r w:rsidRPr="00475DB1">
        <w:rPr>
          <w:sz w:val="24"/>
        </w:rPr>
        <w:t>n esta oportunidad se están señalando</w:t>
      </w:r>
      <w:r>
        <w:rPr>
          <w:sz w:val="24"/>
        </w:rPr>
        <w:t xml:space="preserve"> y visibilizando</w:t>
      </w:r>
      <w:r w:rsidRPr="00475DB1">
        <w:rPr>
          <w:sz w:val="24"/>
        </w:rPr>
        <w:t xml:space="preserve"> los registros de un número importante de medios</w:t>
      </w:r>
      <w:r>
        <w:rPr>
          <w:sz w:val="24"/>
        </w:rPr>
        <w:t xml:space="preserve"> desde los cuales se realizan investigaciones que arrojan informes de calidad.</w:t>
      </w:r>
    </w:p>
    <w:p w:rsidR="00B208ED" w:rsidRDefault="006E76A5" w:rsidP="00B208ED">
      <w:pPr>
        <w:spacing w:line="240" w:lineRule="auto"/>
        <w:jc w:val="both"/>
        <w:rPr>
          <w:sz w:val="24"/>
          <w:szCs w:val="24"/>
        </w:rPr>
      </w:pPr>
      <w:r w:rsidRPr="003906EA">
        <w:rPr>
          <w:sz w:val="24"/>
          <w:szCs w:val="24"/>
        </w:rPr>
        <w:t xml:space="preserve">En el presente informe encontrarán, en primer lugar, datos agregados sobre los hechos de corrupción ocurridos, reportados y sancionados entre enero del 2016 y julio de 2018. En segundo lugar, a la luz del diagnóstico de los hechos identificados, se presenta el análisis de algunos </w:t>
      </w:r>
      <w:r w:rsidRPr="00EA4806">
        <w:rPr>
          <w:b/>
          <w:sz w:val="24"/>
          <w:szCs w:val="24"/>
        </w:rPr>
        <w:t>casos emblemáticos de corrupción</w:t>
      </w:r>
      <w:r w:rsidRPr="003906EA">
        <w:rPr>
          <w:sz w:val="24"/>
          <w:szCs w:val="24"/>
        </w:rPr>
        <w:t xml:space="preserve"> que poseen alta relevancia, no sólo por la complejidad en las técnicas y mecanismos irregulares identificados sino también por el grave efecto generado en la gestión pública, el sistema político y la rama judicial.</w:t>
      </w:r>
      <w:r w:rsidR="00B208ED">
        <w:rPr>
          <w:sz w:val="24"/>
          <w:szCs w:val="24"/>
        </w:rPr>
        <w:t xml:space="preserve"> </w:t>
      </w:r>
    </w:p>
    <w:p w:rsidR="00B208ED" w:rsidRDefault="00B208ED" w:rsidP="00B208ED">
      <w:pPr>
        <w:spacing w:line="240" w:lineRule="auto"/>
        <w:jc w:val="both"/>
        <w:rPr>
          <w:sz w:val="24"/>
          <w:szCs w:val="24"/>
        </w:rPr>
      </w:pPr>
      <w:r>
        <w:rPr>
          <w:sz w:val="24"/>
          <w:szCs w:val="24"/>
        </w:rPr>
        <w:t>Sobre estos casos se enuncian también una serie de “lecciones aprendidas”</w:t>
      </w:r>
      <w:r w:rsidR="00F03788">
        <w:rPr>
          <w:sz w:val="24"/>
          <w:szCs w:val="24"/>
        </w:rPr>
        <w:t xml:space="preserve"> que constituyen</w:t>
      </w:r>
      <w:r>
        <w:rPr>
          <w:sz w:val="24"/>
          <w:szCs w:val="24"/>
        </w:rPr>
        <w:t xml:space="preserve"> valoraciones cuyo sentido es </w:t>
      </w:r>
      <w:r w:rsidR="00F03788">
        <w:rPr>
          <w:sz w:val="24"/>
          <w:szCs w:val="24"/>
        </w:rPr>
        <w:t>promover</w:t>
      </w:r>
      <w:r>
        <w:rPr>
          <w:sz w:val="24"/>
          <w:szCs w:val="24"/>
        </w:rPr>
        <w:t xml:space="preserve"> la reflexión y examinar a fondo las reformas, cambios y ajustes necesarios para fortalecer la gestión pública, </w:t>
      </w:r>
      <w:r w:rsidRPr="009D23CF">
        <w:rPr>
          <w:sz w:val="24"/>
          <w:szCs w:val="24"/>
        </w:rPr>
        <w:t>recuperar la leg</w:t>
      </w:r>
      <w:r>
        <w:rPr>
          <w:sz w:val="24"/>
          <w:szCs w:val="24"/>
        </w:rPr>
        <w:t xml:space="preserve">itimidad en el sistema judicial y mejorar </w:t>
      </w:r>
      <w:r w:rsidRPr="00A91D50">
        <w:rPr>
          <w:sz w:val="24"/>
          <w:szCs w:val="24"/>
        </w:rPr>
        <w:t>la prevención y sanción de la</w:t>
      </w:r>
      <w:r>
        <w:rPr>
          <w:sz w:val="24"/>
          <w:szCs w:val="24"/>
        </w:rPr>
        <w:t xml:space="preserve"> corrupción en sectores mayormente afectados. </w:t>
      </w:r>
    </w:p>
    <w:p w:rsidR="00B208ED" w:rsidRDefault="00B208ED" w:rsidP="00ED3536">
      <w:pPr>
        <w:pStyle w:val="Sinespaciado"/>
        <w:jc w:val="both"/>
      </w:pPr>
      <w:r>
        <w:rPr>
          <w:sz w:val="24"/>
          <w:szCs w:val="24"/>
        </w:rPr>
        <w:t xml:space="preserve">Este informe se hizo posible gracias al generoso apoyo de la fundación francesa </w:t>
      </w:r>
      <w:r w:rsidRPr="00613428">
        <w:rPr>
          <w:b/>
          <w:sz w:val="24"/>
          <w:szCs w:val="24"/>
        </w:rPr>
        <w:t>Chárles Léopold Mayer para el progreso del Hombre (FPH)</w:t>
      </w:r>
      <w:r>
        <w:rPr>
          <w:sz w:val="24"/>
          <w:szCs w:val="24"/>
        </w:rPr>
        <w:t xml:space="preserve"> en el marco de la segunda fase del proyecto </w:t>
      </w:r>
      <w:r w:rsidRPr="00A2437B">
        <w:rPr>
          <w:i/>
          <w:sz w:val="24"/>
          <w:szCs w:val="24"/>
        </w:rPr>
        <w:t>“Gobernanza y Participación Ciudadana en América Latina”.</w:t>
      </w:r>
      <w:r>
        <w:rPr>
          <w:sz w:val="24"/>
          <w:szCs w:val="24"/>
        </w:rPr>
        <w:t xml:space="preserve"> Los contenidos y opiniones expresadas en este informe son responsabilidad de Transparencia por Colombia y no necesariamente reflejan las opiniones de la </w:t>
      </w:r>
      <w:r w:rsidR="00E65BF5">
        <w:rPr>
          <w:sz w:val="24"/>
          <w:szCs w:val="24"/>
        </w:rPr>
        <w:t>F</w:t>
      </w:r>
      <w:r>
        <w:rPr>
          <w:sz w:val="24"/>
          <w:szCs w:val="24"/>
        </w:rPr>
        <w:t>undación.</w:t>
      </w:r>
      <w:r w:rsidR="00ED3536">
        <w:rPr>
          <w:i/>
        </w:rPr>
        <w:t xml:space="preserve"> </w:t>
      </w:r>
      <w:r w:rsidRPr="00ED3536">
        <w:rPr>
          <w:sz w:val="24"/>
          <w:szCs w:val="24"/>
        </w:rPr>
        <w:t xml:space="preserve">Extendemos también un reconocimiento a todos y cada uno de los periodistas que día a día investigan, reportan y cubren los hechos de corrupción en el país, aún sabiendo los riesgos y sensibilidades que provoca este problema. Su trabajo y vocación contribuye a que el Monitor Ciudadano </w:t>
      </w:r>
      <w:r w:rsidR="00E65BF5">
        <w:rPr>
          <w:sz w:val="24"/>
          <w:szCs w:val="24"/>
        </w:rPr>
        <w:t>c</w:t>
      </w:r>
      <w:r w:rsidRPr="00ED3536">
        <w:rPr>
          <w:sz w:val="24"/>
          <w:szCs w:val="24"/>
        </w:rPr>
        <w:t xml:space="preserve">ontinúe recopilando y dando a conocer los hechos de corrupción a la ciudadanía. Estamos convencidos que esta información contribuye cada vez </w:t>
      </w:r>
      <w:r w:rsidR="00E65BF5">
        <w:rPr>
          <w:sz w:val="24"/>
          <w:szCs w:val="24"/>
        </w:rPr>
        <w:t xml:space="preserve">más </w:t>
      </w:r>
      <w:r w:rsidRPr="00ED3536">
        <w:rPr>
          <w:sz w:val="24"/>
          <w:szCs w:val="24"/>
        </w:rPr>
        <w:t>a la prevención y lucha contra la corrupción</w:t>
      </w:r>
      <w:r w:rsidR="00E65BF5">
        <w:rPr>
          <w:sz w:val="24"/>
          <w:szCs w:val="24"/>
        </w:rPr>
        <w:t xml:space="preserve"> en nuestro país.</w:t>
      </w:r>
      <w:r>
        <w:t xml:space="preserve">  </w:t>
      </w:r>
    </w:p>
    <w:p w:rsidR="00B208ED" w:rsidRDefault="00B208ED" w:rsidP="00B208ED">
      <w:pPr>
        <w:spacing w:line="240" w:lineRule="auto"/>
        <w:jc w:val="both"/>
        <w:rPr>
          <w:sz w:val="24"/>
          <w:szCs w:val="24"/>
        </w:rPr>
      </w:pPr>
    </w:p>
    <w:p w:rsidR="00B208ED" w:rsidRDefault="00B208ED" w:rsidP="00B208ED">
      <w:pPr>
        <w:spacing w:line="240" w:lineRule="auto"/>
        <w:jc w:val="both"/>
        <w:rPr>
          <w:sz w:val="24"/>
          <w:szCs w:val="24"/>
        </w:rPr>
      </w:pPr>
    </w:p>
    <w:bookmarkEnd w:id="0"/>
    <w:bookmarkEnd w:id="1"/>
    <w:p w:rsidR="00811C5F" w:rsidRDefault="00811C5F" w:rsidP="00C905E7">
      <w:pPr>
        <w:spacing w:after="0" w:line="240" w:lineRule="auto"/>
        <w:rPr>
          <w:rFonts w:asciiTheme="majorHAnsi" w:hAnsiTheme="majorHAnsi" w:cs="Aharoni"/>
          <w:b/>
          <w:sz w:val="24"/>
          <w:szCs w:val="24"/>
        </w:rPr>
      </w:pPr>
    </w:p>
    <w:p w:rsidR="00811C5F" w:rsidRDefault="00811C5F" w:rsidP="00811C5F">
      <w:pPr>
        <w:spacing w:after="0" w:line="240" w:lineRule="auto"/>
        <w:jc w:val="center"/>
        <w:rPr>
          <w:rFonts w:asciiTheme="majorHAnsi" w:hAnsiTheme="majorHAnsi" w:cs="Aharoni"/>
          <w:b/>
          <w:sz w:val="24"/>
          <w:szCs w:val="24"/>
        </w:rPr>
      </w:pPr>
    </w:p>
    <w:p w:rsidR="00811C5F" w:rsidRDefault="00811C5F" w:rsidP="00811C5F">
      <w:pPr>
        <w:spacing w:after="0" w:line="240" w:lineRule="auto"/>
        <w:jc w:val="center"/>
        <w:rPr>
          <w:rFonts w:asciiTheme="majorHAnsi" w:hAnsiTheme="majorHAnsi" w:cs="Aharoni"/>
          <w:b/>
          <w:sz w:val="24"/>
          <w:szCs w:val="24"/>
        </w:rPr>
      </w:pPr>
      <w:r w:rsidRPr="00811C5F">
        <w:rPr>
          <w:rFonts w:asciiTheme="majorHAnsi" w:hAnsiTheme="majorHAnsi" w:cs="Aharoni"/>
          <w:b/>
          <w:sz w:val="24"/>
          <w:szCs w:val="24"/>
        </w:rPr>
        <w:lastRenderedPageBreak/>
        <w:t>Radiografía de hechos de corrupción en Colombia: 2016-2018</w:t>
      </w:r>
      <w:r>
        <w:rPr>
          <w:rFonts w:asciiTheme="majorHAnsi" w:hAnsiTheme="majorHAnsi" w:cs="Aharoni"/>
          <w:b/>
          <w:sz w:val="24"/>
          <w:szCs w:val="24"/>
        </w:rPr>
        <w:br/>
      </w:r>
      <w:r w:rsidRPr="00811C5F">
        <w:rPr>
          <w:rFonts w:asciiTheme="majorHAnsi" w:hAnsiTheme="majorHAnsi" w:cs="Aharoni"/>
          <w:b/>
          <w:sz w:val="24"/>
          <w:szCs w:val="24"/>
        </w:rPr>
        <w:t xml:space="preserve">Sistematización del registro periodístico sobre la corrupción </w:t>
      </w:r>
    </w:p>
    <w:p w:rsidR="00811C5F" w:rsidRDefault="00811C5F" w:rsidP="00811C5F">
      <w:pPr>
        <w:spacing w:after="0" w:line="240" w:lineRule="auto"/>
        <w:jc w:val="center"/>
        <w:rPr>
          <w:rFonts w:asciiTheme="majorHAnsi" w:hAnsiTheme="majorHAnsi" w:cs="Aharoni"/>
          <w:b/>
          <w:sz w:val="24"/>
          <w:szCs w:val="24"/>
        </w:rPr>
      </w:pPr>
    </w:p>
    <w:p w:rsidR="00A93601" w:rsidRDefault="00A93601" w:rsidP="00C814A2">
      <w:pPr>
        <w:pStyle w:val="Sinespaciado"/>
        <w:jc w:val="both"/>
        <w:rPr>
          <w:rFonts w:asciiTheme="majorHAnsi" w:eastAsiaTheme="majorEastAsia" w:hAnsiTheme="majorHAnsi" w:cstheme="majorBidi"/>
          <w:b/>
          <w:color w:val="000000" w:themeColor="text1"/>
          <w:sz w:val="28"/>
          <w:szCs w:val="36"/>
        </w:rPr>
      </w:pPr>
    </w:p>
    <w:p w:rsidR="00621D5C" w:rsidRDefault="00621D5C" w:rsidP="00621D5C">
      <w:pPr>
        <w:pStyle w:val="Sinespaciado"/>
        <w:numPr>
          <w:ilvl w:val="0"/>
          <w:numId w:val="6"/>
        </w:numPr>
        <w:jc w:val="both"/>
        <w:rPr>
          <w:rFonts w:asciiTheme="majorHAnsi" w:eastAsiaTheme="majorEastAsia" w:hAnsiTheme="majorHAnsi" w:cstheme="majorBidi"/>
          <w:b/>
          <w:color w:val="000000" w:themeColor="text1"/>
          <w:sz w:val="24"/>
          <w:szCs w:val="36"/>
        </w:rPr>
      </w:pPr>
      <w:commentRangeStart w:id="7"/>
      <w:r>
        <w:rPr>
          <w:rFonts w:asciiTheme="majorHAnsi" w:eastAsiaTheme="majorEastAsia" w:hAnsiTheme="majorHAnsi" w:cstheme="majorBidi"/>
          <w:b/>
          <w:color w:val="000000" w:themeColor="text1"/>
          <w:sz w:val="24"/>
          <w:szCs w:val="36"/>
        </w:rPr>
        <w:t>Una mirada General</w:t>
      </w:r>
      <w:commentRangeEnd w:id="7"/>
      <w:r>
        <w:rPr>
          <w:rStyle w:val="Refdecomentario"/>
          <w:rFonts w:ascii="Calibri" w:eastAsia="Calibri" w:hAnsi="Calibri" w:cs="Times New Roman"/>
        </w:rPr>
        <w:commentReference w:id="7"/>
      </w:r>
    </w:p>
    <w:p w:rsidR="00621D5C" w:rsidRDefault="00621D5C" w:rsidP="00C814A2">
      <w:pPr>
        <w:pStyle w:val="Sinespaciado"/>
        <w:jc w:val="both"/>
        <w:rPr>
          <w:rFonts w:asciiTheme="majorHAnsi" w:eastAsiaTheme="majorEastAsia" w:hAnsiTheme="majorHAnsi" w:cstheme="majorBidi"/>
          <w:b/>
          <w:color w:val="000000" w:themeColor="text1"/>
          <w:sz w:val="24"/>
          <w:szCs w:val="36"/>
        </w:rPr>
      </w:pPr>
    </w:p>
    <w:p w:rsidR="00487097" w:rsidRPr="00A93601" w:rsidRDefault="00487097" w:rsidP="00C814A2">
      <w:pPr>
        <w:pStyle w:val="Sinespaciado"/>
        <w:jc w:val="both"/>
        <w:rPr>
          <w:rFonts w:asciiTheme="majorHAnsi" w:eastAsiaTheme="majorEastAsia" w:hAnsiTheme="majorHAnsi" w:cstheme="majorBidi"/>
          <w:b/>
          <w:color w:val="000000" w:themeColor="text1"/>
          <w:sz w:val="24"/>
          <w:szCs w:val="36"/>
        </w:rPr>
      </w:pPr>
      <w:r w:rsidRPr="00A93601">
        <w:rPr>
          <w:rFonts w:asciiTheme="majorHAnsi" w:eastAsiaTheme="majorEastAsia" w:hAnsiTheme="majorHAnsi" w:cstheme="majorBidi"/>
          <w:b/>
          <w:color w:val="000000" w:themeColor="text1"/>
          <w:sz w:val="24"/>
          <w:szCs w:val="36"/>
        </w:rPr>
        <w:t xml:space="preserve">Entre 2016 y 2018 la corrupción no dio </w:t>
      </w:r>
      <w:commentRangeStart w:id="8"/>
      <w:r w:rsidRPr="00A93601">
        <w:rPr>
          <w:rFonts w:asciiTheme="majorHAnsi" w:eastAsiaTheme="majorEastAsia" w:hAnsiTheme="majorHAnsi" w:cstheme="majorBidi"/>
          <w:b/>
          <w:color w:val="000000" w:themeColor="text1"/>
          <w:sz w:val="24"/>
          <w:szCs w:val="36"/>
        </w:rPr>
        <w:t>tregua</w:t>
      </w:r>
      <w:commentRangeEnd w:id="8"/>
      <w:r w:rsidR="00915FCF">
        <w:rPr>
          <w:rStyle w:val="Refdecomentario"/>
          <w:rFonts w:ascii="Calibri" w:eastAsia="Calibri" w:hAnsi="Calibri" w:cs="Times New Roman"/>
        </w:rPr>
        <w:commentReference w:id="8"/>
      </w:r>
      <w:r w:rsidRPr="00A93601">
        <w:rPr>
          <w:rFonts w:asciiTheme="majorHAnsi" w:eastAsiaTheme="majorEastAsia" w:hAnsiTheme="majorHAnsi" w:cstheme="majorBidi"/>
          <w:b/>
          <w:color w:val="000000" w:themeColor="text1"/>
          <w:sz w:val="24"/>
          <w:szCs w:val="36"/>
        </w:rPr>
        <w:t xml:space="preserve">  </w:t>
      </w:r>
    </w:p>
    <w:p w:rsidR="00694FE0" w:rsidRDefault="00694FE0" w:rsidP="00C814A2">
      <w:pPr>
        <w:pStyle w:val="Sinespaciado"/>
        <w:jc w:val="both"/>
        <w:rPr>
          <w:rFonts w:asciiTheme="majorHAnsi" w:eastAsiaTheme="majorEastAsia" w:hAnsiTheme="majorHAnsi" w:cstheme="majorBidi"/>
          <w:b/>
          <w:color w:val="000000" w:themeColor="text1"/>
          <w:sz w:val="28"/>
          <w:szCs w:val="36"/>
        </w:rPr>
      </w:pPr>
    </w:p>
    <w:p w:rsidR="00487097" w:rsidRDefault="00487097" w:rsidP="00487097">
      <w:pPr>
        <w:spacing w:after="0" w:line="240" w:lineRule="auto"/>
        <w:jc w:val="both"/>
        <w:rPr>
          <w:sz w:val="24"/>
          <w:szCs w:val="24"/>
        </w:rPr>
      </w:pPr>
      <w:r w:rsidRPr="00487097">
        <w:rPr>
          <w:sz w:val="24"/>
          <w:szCs w:val="24"/>
        </w:rPr>
        <w:t xml:space="preserve">Entre enero de 2016 y julio de 2018 el Monitor Ciudadano identificó 327 hechos de corrupción en los 32 departamentos del país reportados por la prensa nacional y regional. El 69% de los hechos son de alcance municipal, </w:t>
      </w:r>
      <w:r>
        <w:rPr>
          <w:sz w:val="24"/>
          <w:szCs w:val="24"/>
        </w:rPr>
        <w:t xml:space="preserve">el </w:t>
      </w:r>
      <w:r w:rsidRPr="00487097">
        <w:rPr>
          <w:sz w:val="24"/>
          <w:szCs w:val="24"/>
        </w:rPr>
        <w:t>25% de nivel departamental y un 6% de hechos restantes correspondieron a hechos de alcance nacional. E</w:t>
      </w:r>
      <w:r>
        <w:rPr>
          <w:sz w:val="24"/>
          <w:szCs w:val="24"/>
        </w:rPr>
        <w:t xml:space="preserve">l proceso de sistematización de hechos </w:t>
      </w:r>
      <w:r w:rsidRPr="00487097">
        <w:rPr>
          <w:sz w:val="24"/>
          <w:szCs w:val="24"/>
        </w:rPr>
        <w:t>refleja únicamente los datos de los registros periodísticos encontrados y posteriormente sistematizados.</w:t>
      </w:r>
      <w:r w:rsidR="003D0678">
        <w:rPr>
          <w:rStyle w:val="Refdenotaalpie"/>
          <w:sz w:val="24"/>
          <w:szCs w:val="24"/>
        </w:rPr>
        <w:footnoteReference w:id="8"/>
      </w:r>
      <w:r w:rsidRPr="00487097">
        <w:rPr>
          <w:sz w:val="24"/>
          <w:szCs w:val="24"/>
        </w:rPr>
        <w:t xml:space="preserve"> </w:t>
      </w:r>
    </w:p>
    <w:p w:rsidR="00A93601" w:rsidRDefault="00A93601" w:rsidP="00487097">
      <w:pPr>
        <w:spacing w:after="0" w:line="240" w:lineRule="auto"/>
        <w:jc w:val="both"/>
        <w:rPr>
          <w:rFonts w:asciiTheme="majorHAnsi" w:eastAsiaTheme="majorEastAsia" w:hAnsiTheme="majorHAnsi" w:cstheme="majorBidi"/>
          <w:b/>
          <w:color w:val="000000" w:themeColor="text1"/>
          <w:sz w:val="24"/>
          <w:szCs w:val="36"/>
        </w:rPr>
      </w:pPr>
    </w:p>
    <w:p w:rsidR="00E451D6" w:rsidRDefault="00E54F8C" w:rsidP="00487097">
      <w:pPr>
        <w:spacing w:after="0" w:line="240" w:lineRule="auto"/>
        <w:jc w:val="both"/>
        <w:rPr>
          <w:sz w:val="24"/>
          <w:szCs w:val="24"/>
        </w:rPr>
      </w:pPr>
      <w:r>
        <w:rPr>
          <w:sz w:val="24"/>
          <w:szCs w:val="24"/>
        </w:rPr>
        <w:t xml:space="preserve">El panorama es poco alentador. Los datos </w:t>
      </w:r>
      <w:r w:rsidR="00E451D6">
        <w:rPr>
          <w:sz w:val="24"/>
          <w:szCs w:val="24"/>
        </w:rPr>
        <w:t>evidencian</w:t>
      </w:r>
      <w:r>
        <w:rPr>
          <w:sz w:val="24"/>
          <w:szCs w:val="24"/>
        </w:rPr>
        <w:t xml:space="preserve"> que en los cinco departamentos con mayor población del país se concentra</w:t>
      </w:r>
      <w:r w:rsidR="00D611EC">
        <w:rPr>
          <w:sz w:val="24"/>
          <w:szCs w:val="24"/>
        </w:rPr>
        <w:t>ro</w:t>
      </w:r>
      <w:r>
        <w:rPr>
          <w:sz w:val="24"/>
          <w:szCs w:val="24"/>
        </w:rPr>
        <w:t xml:space="preserve">n </w:t>
      </w:r>
      <w:r w:rsidR="00D611EC">
        <w:rPr>
          <w:sz w:val="24"/>
          <w:szCs w:val="24"/>
        </w:rPr>
        <w:t xml:space="preserve">el 45% </w:t>
      </w:r>
      <w:r>
        <w:rPr>
          <w:sz w:val="24"/>
          <w:szCs w:val="24"/>
        </w:rPr>
        <w:t xml:space="preserve">de los hechos de corrupción recopilados. Estos fueron </w:t>
      </w:r>
      <w:r w:rsidR="00E451D6">
        <w:rPr>
          <w:sz w:val="24"/>
          <w:szCs w:val="24"/>
        </w:rPr>
        <w:t xml:space="preserve">Santander, Atlántico, Valle del Cauca, Bolívar y Antioquia. En cuanto a ciudades capitales, </w:t>
      </w:r>
      <w:r w:rsidR="00D611EC">
        <w:rPr>
          <w:sz w:val="24"/>
          <w:szCs w:val="24"/>
        </w:rPr>
        <w:t>el 29% de los hechos se encontraron en</w:t>
      </w:r>
      <w:r w:rsidR="003D0678">
        <w:rPr>
          <w:sz w:val="24"/>
          <w:szCs w:val="24"/>
        </w:rPr>
        <w:t xml:space="preserve"> </w:t>
      </w:r>
      <w:r w:rsidR="00D611EC">
        <w:rPr>
          <w:sz w:val="24"/>
          <w:szCs w:val="24"/>
        </w:rPr>
        <w:t>Bogotá, Barranquilla, Bucaramanga, Cartagena y Medellín</w:t>
      </w:r>
      <w:r w:rsidR="003D0678">
        <w:rPr>
          <w:sz w:val="24"/>
          <w:szCs w:val="24"/>
        </w:rPr>
        <w:t xml:space="preserve">. </w:t>
      </w:r>
      <w:r w:rsidR="00D611EC">
        <w:rPr>
          <w:sz w:val="24"/>
          <w:szCs w:val="24"/>
        </w:rPr>
        <w:t xml:space="preserve"> </w:t>
      </w:r>
    </w:p>
    <w:p w:rsidR="00A93601" w:rsidRDefault="00A93601" w:rsidP="00487097">
      <w:pPr>
        <w:spacing w:after="0" w:line="240" w:lineRule="auto"/>
        <w:jc w:val="both"/>
        <w:rPr>
          <w:sz w:val="24"/>
          <w:szCs w:val="24"/>
        </w:rPr>
      </w:pPr>
    </w:p>
    <w:p w:rsidR="00E451D6" w:rsidRPr="00A93601" w:rsidRDefault="005C5EA3" w:rsidP="00487097">
      <w:pPr>
        <w:spacing w:after="0" w:line="240" w:lineRule="auto"/>
        <w:jc w:val="both"/>
        <w:rPr>
          <w:rFonts w:asciiTheme="majorHAnsi" w:eastAsiaTheme="majorEastAsia" w:hAnsiTheme="majorHAnsi" w:cstheme="majorBidi"/>
          <w:b/>
          <w:color w:val="000000" w:themeColor="text1"/>
          <w:sz w:val="24"/>
          <w:szCs w:val="36"/>
        </w:rPr>
      </w:pPr>
      <w:r>
        <w:rPr>
          <w:rFonts w:asciiTheme="majorHAnsi" w:eastAsiaTheme="majorEastAsia" w:hAnsiTheme="majorHAnsi" w:cstheme="majorBidi"/>
          <w:b/>
          <w:color w:val="000000" w:themeColor="text1"/>
          <w:sz w:val="24"/>
          <w:szCs w:val="36"/>
        </w:rPr>
        <w:t xml:space="preserve">La corrupción </w:t>
      </w:r>
      <w:r w:rsidR="004B6C41">
        <w:rPr>
          <w:rFonts w:asciiTheme="majorHAnsi" w:eastAsiaTheme="majorEastAsia" w:hAnsiTheme="majorHAnsi" w:cstheme="majorBidi"/>
          <w:b/>
          <w:color w:val="000000" w:themeColor="text1"/>
          <w:sz w:val="24"/>
          <w:szCs w:val="36"/>
        </w:rPr>
        <w:t xml:space="preserve">afectó en gran medida al </w:t>
      </w:r>
      <w:r>
        <w:rPr>
          <w:rFonts w:asciiTheme="majorHAnsi" w:eastAsiaTheme="majorEastAsia" w:hAnsiTheme="majorHAnsi" w:cstheme="majorBidi"/>
          <w:b/>
          <w:color w:val="000000" w:themeColor="text1"/>
          <w:sz w:val="24"/>
          <w:szCs w:val="36"/>
        </w:rPr>
        <w:t xml:space="preserve">sector público </w:t>
      </w:r>
    </w:p>
    <w:p w:rsidR="00F037E3" w:rsidRDefault="003D0678" w:rsidP="00487097">
      <w:pPr>
        <w:spacing w:after="0" w:line="240" w:lineRule="auto"/>
        <w:jc w:val="both"/>
        <w:rPr>
          <w:sz w:val="24"/>
          <w:szCs w:val="24"/>
        </w:rPr>
      </w:pPr>
      <w:r>
        <w:rPr>
          <w:sz w:val="24"/>
          <w:szCs w:val="24"/>
        </w:rPr>
        <w:t xml:space="preserve">La </w:t>
      </w:r>
      <w:r w:rsidR="006642D1">
        <w:rPr>
          <w:sz w:val="24"/>
          <w:szCs w:val="24"/>
        </w:rPr>
        <w:t>radiografía</w:t>
      </w:r>
      <w:r>
        <w:rPr>
          <w:sz w:val="24"/>
          <w:szCs w:val="24"/>
        </w:rPr>
        <w:t xml:space="preserve"> del país en materia de </w:t>
      </w:r>
      <w:r w:rsidR="006642D1">
        <w:rPr>
          <w:sz w:val="24"/>
          <w:szCs w:val="24"/>
        </w:rPr>
        <w:t xml:space="preserve">tipos de </w:t>
      </w:r>
      <w:r>
        <w:rPr>
          <w:sz w:val="24"/>
          <w:szCs w:val="24"/>
        </w:rPr>
        <w:t xml:space="preserve">corrupción detectó </w:t>
      </w:r>
      <w:r w:rsidR="006642D1">
        <w:rPr>
          <w:sz w:val="24"/>
          <w:szCs w:val="24"/>
        </w:rPr>
        <w:t xml:space="preserve">que </w:t>
      </w:r>
      <w:r>
        <w:rPr>
          <w:sz w:val="24"/>
          <w:szCs w:val="24"/>
        </w:rPr>
        <w:t xml:space="preserve">en su mayoría </w:t>
      </w:r>
      <w:r w:rsidR="006642D1">
        <w:rPr>
          <w:sz w:val="24"/>
          <w:szCs w:val="24"/>
        </w:rPr>
        <w:t xml:space="preserve">fueron </w:t>
      </w:r>
      <w:r>
        <w:rPr>
          <w:sz w:val="24"/>
          <w:szCs w:val="24"/>
        </w:rPr>
        <w:t xml:space="preserve">hechos </w:t>
      </w:r>
      <w:r w:rsidR="006642D1">
        <w:rPr>
          <w:sz w:val="24"/>
          <w:szCs w:val="24"/>
        </w:rPr>
        <w:t xml:space="preserve">de </w:t>
      </w:r>
      <w:r>
        <w:rPr>
          <w:sz w:val="24"/>
          <w:szCs w:val="24"/>
        </w:rPr>
        <w:t>corrupción administrativa</w:t>
      </w:r>
      <w:r w:rsidR="006642D1">
        <w:rPr>
          <w:sz w:val="24"/>
          <w:szCs w:val="24"/>
        </w:rPr>
        <w:t xml:space="preserve"> (73</w:t>
      </w:r>
      <w:r w:rsidR="00F037E3">
        <w:rPr>
          <w:sz w:val="24"/>
          <w:szCs w:val="24"/>
        </w:rPr>
        <w:t>%</w:t>
      </w:r>
      <w:r w:rsidR="006642D1">
        <w:rPr>
          <w:sz w:val="24"/>
          <w:szCs w:val="24"/>
        </w:rPr>
        <w:t>) , corrupción privada (9%</w:t>
      </w:r>
      <w:r w:rsidR="00F037E3">
        <w:rPr>
          <w:sz w:val="24"/>
          <w:szCs w:val="24"/>
        </w:rPr>
        <w:t>) y</w:t>
      </w:r>
      <w:r w:rsidR="006642D1">
        <w:rPr>
          <w:sz w:val="24"/>
          <w:szCs w:val="24"/>
        </w:rPr>
        <w:t xml:space="preserve"> corrupción judicial (7%) los que más se </w:t>
      </w:r>
      <w:r w:rsidR="00E65BF5">
        <w:rPr>
          <w:sz w:val="24"/>
          <w:szCs w:val="24"/>
        </w:rPr>
        <w:t xml:space="preserve">reportaron </w:t>
      </w:r>
      <w:r w:rsidR="006642D1">
        <w:rPr>
          <w:sz w:val="24"/>
          <w:szCs w:val="24"/>
        </w:rPr>
        <w:t xml:space="preserve">entre enero del 2016 y julio del 2018. De los hechos asociados a corrupción administrativa, </w:t>
      </w:r>
      <w:r w:rsidR="00F037E3">
        <w:rPr>
          <w:sz w:val="24"/>
          <w:szCs w:val="24"/>
        </w:rPr>
        <w:t xml:space="preserve">siguen siendo las irregularidades en los proceso de contratación pública el principal problema, ocupando </w:t>
      </w:r>
      <w:r w:rsidR="006642D1">
        <w:rPr>
          <w:sz w:val="24"/>
          <w:szCs w:val="24"/>
        </w:rPr>
        <w:t xml:space="preserve">el </w:t>
      </w:r>
      <w:r w:rsidR="00F037E3">
        <w:rPr>
          <w:sz w:val="24"/>
          <w:szCs w:val="24"/>
        </w:rPr>
        <w:t xml:space="preserve">46% de los hechos de este tipo. Por otro lado, llama la atención que los casos de corrupción privada sean cada vez más reportados a través de la prensa. </w:t>
      </w:r>
      <w:r w:rsidR="0086427F">
        <w:rPr>
          <w:sz w:val="24"/>
          <w:szCs w:val="24"/>
        </w:rPr>
        <w:t>Por ejemplo, e</w:t>
      </w:r>
      <w:r w:rsidR="006F059B">
        <w:rPr>
          <w:sz w:val="24"/>
          <w:szCs w:val="24"/>
        </w:rPr>
        <w:t xml:space="preserve">n comparación al primer informe del Monitor Ciudadano sobre “Corrupción en Territorios de Paz”, el porcentaje de casos </w:t>
      </w:r>
      <w:r w:rsidR="004B6C41">
        <w:rPr>
          <w:sz w:val="24"/>
          <w:szCs w:val="24"/>
        </w:rPr>
        <w:t xml:space="preserve">de corrupción privada </w:t>
      </w:r>
      <w:r w:rsidR="006F059B">
        <w:rPr>
          <w:sz w:val="24"/>
          <w:szCs w:val="24"/>
        </w:rPr>
        <w:t>sólo alcanzó un 4</w:t>
      </w:r>
      <w:r w:rsidR="004B6C41">
        <w:rPr>
          <w:sz w:val="24"/>
          <w:szCs w:val="24"/>
        </w:rPr>
        <w:t>% del reporte.</w:t>
      </w:r>
      <w:r w:rsidR="004B6C41">
        <w:rPr>
          <w:rStyle w:val="Refdenotaalpie"/>
          <w:sz w:val="24"/>
          <w:szCs w:val="24"/>
        </w:rPr>
        <w:footnoteReference w:id="9"/>
      </w:r>
      <w:r w:rsidR="004B6C41">
        <w:rPr>
          <w:sz w:val="24"/>
          <w:szCs w:val="24"/>
        </w:rPr>
        <w:t xml:space="preserve"> </w:t>
      </w:r>
    </w:p>
    <w:p w:rsidR="00F037E3" w:rsidRDefault="00F037E3" w:rsidP="00487097">
      <w:pPr>
        <w:spacing w:after="0" w:line="240" w:lineRule="auto"/>
        <w:jc w:val="both"/>
        <w:rPr>
          <w:sz w:val="24"/>
          <w:szCs w:val="24"/>
        </w:rPr>
      </w:pPr>
    </w:p>
    <w:p w:rsidR="00A93601" w:rsidRPr="005C5EA3" w:rsidRDefault="005C5EA3" w:rsidP="00487097">
      <w:pPr>
        <w:spacing w:after="0" w:line="240" w:lineRule="auto"/>
        <w:jc w:val="both"/>
        <w:rPr>
          <w:rFonts w:asciiTheme="majorHAnsi" w:eastAsiaTheme="majorEastAsia" w:hAnsiTheme="majorHAnsi" w:cstheme="majorBidi"/>
          <w:b/>
          <w:color w:val="000000" w:themeColor="text1"/>
          <w:sz w:val="24"/>
          <w:szCs w:val="36"/>
        </w:rPr>
      </w:pPr>
      <w:r>
        <w:rPr>
          <w:rFonts w:asciiTheme="majorHAnsi" w:eastAsiaTheme="majorEastAsia" w:hAnsiTheme="majorHAnsi" w:cstheme="majorBidi"/>
          <w:b/>
          <w:color w:val="000000" w:themeColor="text1"/>
          <w:sz w:val="24"/>
          <w:szCs w:val="36"/>
        </w:rPr>
        <w:t xml:space="preserve">Sectores como </w:t>
      </w:r>
      <w:r w:rsidRPr="005C5EA3">
        <w:rPr>
          <w:rFonts w:asciiTheme="majorHAnsi" w:eastAsiaTheme="majorEastAsia" w:hAnsiTheme="majorHAnsi" w:cstheme="majorBidi"/>
          <w:b/>
          <w:color w:val="000000" w:themeColor="text1"/>
          <w:sz w:val="24"/>
          <w:szCs w:val="36"/>
        </w:rPr>
        <w:t>Educación</w:t>
      </w:r>
      <w:r w:rsidR="00414714" w:rsidRPr="005C5EA3">
        <w:rPr>
          <w:rFonts w:asciiTheme="majorHAnsi" w:eastAsiaTheme="majorEastAsia" w:hAnsiTheme="majorHAnsi" w:cstheme="majorBidi"/>
          <w:b/>
          <w:color w:val="000000" w:themeColor="text1"/>
          <w:sz w:val="24"/>
          <w:szCs w:val="36"/>
        </w:rPr>
        <w:t>, Salud</w:t>
      </w:r>
      <w:r w:rsidRPr="005C5EA3">
        <w:rPr>
          <w:rFonts w:asciiTheme="majorHAnsi" w:eastAsiaTheme="majorEastAsia" w:hAnsiTheme="majorHAnsi" w:cstheme="majorBidi"/>
          <w:b/>
          <w:color w:val="000000" w:themeColor="text1"/>
          <w:sz w:val="24"/>
          <w:szCs w:val="36"/>
        </w:rPr>
        <w:t xml:space="preserve"> </w:t>
      </w:r>
      <w:r>
        <w:rPr>
          <w:rFonts w:asciiTheme="majorHAnsi" w:eastAsiaTheme="majorEastAsia" w:hAnsiTheme="majorHAnsi" w:cstheme="majorBidi"/>
          <w:b/>
          <w:color w:val="000000" w:themeColor="text1"/>
          <w:sz w:val="24"/>
          <w:szCs w:val="36"/>
        </w:rPr>
        <w:t xml:space="preserve">e </w:t>
      </w:r>
      <w:r w:rsidRPr="005C5EA3">
        <w:rPr>
          <w:rFonts w:asciiTheme="majorHAnsi" w:eastAsiaTheme="majorEastAsia" w:hAnsiTheme="majorHAnsi" w:cstheme="majorBidi"/>
          <w:b/>
          <w:color w:val="000000" w:themeColor="text1"/>
          <w:sz w:val="24"/>
          <w:szCs w:val="36"/>
        </w:rPr>
        <w:t xml:space="preserve">Infraestructura </w:t>
      </w:r>
      <w:r>
        <w:rPr>
          <w:rFonts w:asciiTheme="majorHAnsi" w:eastAsiaTheme="majorEastAsia" w:hAnsiTheme="majorHAnsi" w:cstheme="majorBidi"/>
          <w:b/>
          <w:color w:val="000000" w:themeColor="text1"/>
          <w:sz w:val="24"/>
          <w:szCs w:val="36"/>
        </w:rPr>
        <w:t xml:space="preserve">los principales </w:t>
      </w:r>
      <w:commentRangeStart w:id="9"/>
      <w:r>
        <w:rPr>
          <w:rFonts w:asciiTheme="majorHAnsi" w:eastAsiaTheme="majorEastAsia" w:hAnsiTheme="majorHAnsi" w:cstheme="majorBidi"/>
          <w:b/>
          <w:color w:val="000000" w:themeColor="text1"/>
          <w:sz w:val="24"/>
          <w:szCs w:val="36"/>
        </w:rPr>
        <w:t>afectados</w:t>
      </w:r>
      <w:commentRangeEnd w:id="9"/>
      <w:r w:rsidR="00915FCF">
        <w:rPr>
          <w:rStyle w:val="Refdecomentario"/>
          <w:rFonts w:ascii="Calibri" w:eastAsia="Calibri" w:hAnsi="Calibri" w:cs="Times New Roman"/>
        </w:rPr>
        <w:commentReference w:id="9"/>
      </w:r>
      <w:r>
        <w:rPr>
          <w:rFonts w:asciiTheme="majorHAnsi" w:eastAsiaTheme="majorEastAsia" w:hAnsiTheme="majorHAnsi" w:cstheme="majorBidi"/>
          <w:b/>
          <w:color w:val="000000" w:themeColor="text1"/>
          <w:sz w:val="24"/>
          <w:szCs w:val="36"/>
        </w:rPr>
        <w:t xml:space="preserve"> </w:t>
      </w:r>
    </w:p>
    <w:p w:rsidR="00F037E3" w:rsidRDefault="00A93601" w:rsidP="00487097">
      <w:pPr>
        <w:spacing w:after="0" w:line="240" w:lineRule="auto"/>
        <w:jc w:val="both"/>
        <w:rPr>
          <w:sz w:val="24"/>
          <w:szCs w:val="24"/>
        </w:rPr>
      </w:pPr>
      <w:r>
        <w:rPr>
          <w:sz w:val="24"/>
          <w:szCs w:val="24"/>
        </w:rPr>
        <w:t xml:space="preserve">Más de la mitad de los hechos de corrupción reportados por la prensa afectaron los sectores de Educación (16,2%), Infraestructura y Transporte (14,6%), Salud (13,4%) y </w:t>
      </w:r>
      <w:r>
        <w:rPr>
          <w:sz w:val="24"/>
          <w:szCs w:val="24"/>
        </w:rPr>
        <w:lastRenderedPageBreak/>
        <w:t>Función Pública (11,6%)</w:t>
      </w:r>
      <w:r w:rsidR="005C5EA3">
        <w:rPr>
          <w:sz w:val="24"/>
          <w:szCs w:val="24"/>
        </w:rPr>
        <w:t xml:space="preserve">. </w:t>
      </w:r>
      <w:r w:rsidR="006E76A5" w:rsidRPr="00944B73">
        <w:rPr>
          <w:sz w:val="24"/>
          <w:szCs w:val="24"/>
        </w:rPr>
        <w:t xml:space="preserve">Preocupa que </w:t>
      </w:r>
      <w:r w:rsidR="00944B73" w:rsidRPr="00944B73">
        <w:rPr>
          <w:sz w:val="24"/>
          <w:szCs w:val="24"/>
        </w:rPr>
        <w:t>a l</w:t>
      </w:r>
      <w:r w:rsidR="006E76A5" w:rsidRPr="00944B73">
        <w:rPr>
          <w:sz w:val="24"/>
          <w:szCs w:val="24"/>
        </w:rPr>
        <w:t>os tr</w:t>
      </w:r>
      <w:r w:rsidR="009D44DC">
        <w:rPr>
          <w:sz w:val="24"/>
          <w:szCs w:val="24"/>
        </w:rPr>
        <w:t>es primeros sectores se destina</w:t>
      </w:r>
      <w:r w:rsidR="006E76A5" w:rsidRPr="00944B73">
        <w:rPr>
          <w:sz w:val="24"/>
          <w:szCs w:val="24"/>
        </w:rPr>
        <w:t xml:space="preserve"> </w:t>
      </w:r>
      <w:r w:rsidR="00944B73" w:rsidRPr="00944B73">
        <w:rPr>
          <w:sz w:val="24"/>
          <w:szCs w:val="24"/>
        </w:rPr>
        <w:t xml:space="preserve">la mayor parte de los </w:t>
      </w:r>
      <w:r w:rsidR="006E76A5" w:rsidRPr="00944B73">
        <w:rPr>
          <w:sz w:val="24"/>
          <w:szCs w:val="24"/>
        </w:rPr>
        <w:t>recursos públicos del presupuesto de la nación y determinan el mejoramiento de la calidad de vida y bienestar de los ciudadanos.</w:t>
      </w:r>
      <w:r w:rsidR="005C5EA3">
        <w:rPr>
          <w:sz w:val="24"/>
          <w:szCs w:val="24"/>
        </w:rPr>
        <w:t xml:space="preserve"> </w:t>
      </w:r>
    </w:p>
    <w:p w:rsidR="00F037E3" w:rsidRDefault="00F037E3" w:rsidP="00487097">
      <w:pPr>
        <w:spacing w:after="0" w:line="240" w:lineRule="auto"/>
        <w:jc w:val="both"/>
        <w:rPr>
          <w:sz w:val="24"/>
          <w:szCs w:val="24"/>
        </w:rPr>
      </w:pPr>
    </w:p>
    <w:p w:rsidR="00414714" w:rsidRPr="00414714" w:rsidRDefault="00414714" w:rsidP="00414714">
      <w:pPr>
        <w:rPr>
          <w:rFonts w:asciiTheme="majorHAnsi" w:eastAsiaTheme="majorEastAsia" w:hAnsiTheme="majorHAnsi" w:cstheme="majorBidi"/>
          <w:b/>
          <w:color w:val="000000" w:themeColor="text1"/>
          <w:sz w:val="24"/>
          <w:szCs w:val="36"/>
        </w:rPr>
      </w:pPr>
      <w:r w:rsidRPr="00414714">
        <w:rPr>
          <w:rFonts w:asciiTheme="majorHAnsi" w:eastAsiaTheme="majorEastAsia" w:hAnsiTheme="majorHAnsi" w:cstheme="majorBidi"/>
          <w:b/>
          <w:color w:val="000000" w:themeColor="text1"/>
          <w:sz w:val="24"/>
          <w:szCs w:val="36"/>
        </w:rPr>
        <w:t xml:space="preserve">Funcionarios públicos y autoridades electas los actores más vinculados en hechos de </w:t>
      </w:r>
      <w:commentRangeStart w:id="10"/>
      <w:r w:rsidRPr="00414714">
        <w:rPr>
          <w:rFonts w:asciiTheme="majorHAnsi" w:eastAsiaTheme="majorEastAsia" w:hAnsiTheme="majorHAnsi" w:cstheme="majorBidi"/>
          <w:b/>
          <w:color w:val="000000" w:themeColor="text1"/>
          <w:sz w:val="24"/>
          <w:szCs w:val="36"/>
        </w:rPr>
        <w:t>corrupción</w:t>
      </w:r>
      <w:commentRangeEnd w:id="10"/>
      <w:r w:rsidR="00915FCF">
        <w:rPr>
          <w:rStyle w:val="Refdecomentario"/>
          <w:rFonts w:ascii="Calibri" w:eastAsia="Calibri" w:hAnsi="Calibri" w:cs="Times New Roman"/>
        </w:rPr>
        <w:commentReference w:id="10"/>
      </w:r>
      <w:r w:rsidRPr="00414714">
        <w:rPr>
          <w:rFonts w:asciiTheme="majorHAnsi" w:eastAsiaTheme="majorEastAsia" w:hAnsiTheme="majorHAnsi" w:cstheme="majorBidi"/>
          <w:b/>
          <w:color w:val="000000" w:themeColor="text1"/>
          <w:sz w:val="24"/>
          <w:szCs w:val="36"/>
        </w:rPr>
        <w:t xml:space="preserve"> </w:t>
      </w:r>
    </w:p>
    <w:p w:rsidR="0072128D" w:rsidRDefault="00414714" w:rsidP="0072128D">
      <w:pPr>
        <w:jc w:val="both"/>
        <w:rPr>
          <w:sz w:val="24"/>
          <w:szCs w:val="24"/>
        </w:rPr>
      </w:pPr>
      <w:r>
        <w:rPr>
          <w:sz w:val="24"/>
          <w:szCs w:val="24"/>
        </w:rPr>
        <w:t xml:space="preserve">Dentro del total de actores individuales involucrados que recopiló el Monitor Ciudadano se </w:t>
      </w:r>
      <w:r w:rsidR="000651D4">
        <w:rPr>
          <w:sz w:val="24"/>
          <w:szCs w:val="24"/>
        </w:rPr>
        <w:t xml:space="preserve">evidencia </w:t>
      </w:r>
      <w:r>
        <w:rPr>
          <w:sz w:val="24"/>
          <w:szCs w:val="24"/>
        </w:rPr>
        <w:t xml:space="preserve">que el </w:t>
      </w:r>
      <w:r w:rsidRPr="00414714">
        <w:rPr>
          <w:sz w:val="24"/>
          <w:szCs w:val="24"/>
        </w:rPr>
        <w:t xml:space="preserve">61% </w:t>
      </w:r>
      <w:r>
        <w:rPr>
          <w:sz w:val="24"/>
          <w:szCs w:val="24"/>
        </w:rPr>
        <w:t>fueron funcionarios públicos y autoridades electas por voto popular. De dichas autoridades, el 8</w:t>
      </w:r>
      <w:r w:rsidR="000651D4">
        <w:rPr>
          <w:sz w:val="24"/>
          <w:szCs w:val="24"/>
        </w:rPr>
        <w:t>1</w:t>
      </w:r>
      <w:r>
        <w:rPr>
          <w:sz w:val="24"/>
          <w:szCs w:val="24"/>
        </w:rPr>
        <w:t>% fueron alcaldes y concejales</w:t>
      </w:r>
      <w:r w:rsidR="000651D4">
        <w:rPr>
          <w:sz w:val="24"/>
          <w:szCs w:val="24"/>
        </w:rPr>
        <w:t xml:space="preserve">, la mayoría elegidos para el periodo electoral 2016-2019 (60%). </w:t>
      </w:r>
      <w:r w:rsidR="005E14E5">
        <w:rPr>
          <w:sz w:val="24"/>
          <w:szCs w:val="24"/>
        </w:rPr>
        <w:t>En cuanto a</w:t>
      </w:r>
      <w:r w:rsidR="0072128D">
        <w:rPr>
          <w:sz w:val="24"/>
          <w:szCs w:val="24"/>
        </w:rPr>
        <w:t>l total de</w:t>
      </w:r>
      <w:r w:rsidR="005E14E5">
        <w:rPr>
          <w:sz w:val="24"/>
          <w:szCs w:val="24"/>
        </w:rPr>
        <w:t xml:space="preserve"> actores colectivos vinculados a hechos de corrupción, el </w:t>
      </w:r>
      <w:r w:rsidR="0072128D">
        <w:rPr>
          <w:sz w:val="24"/>
          <w:szCs w:val="24"/>
        </w:rPr>
        <w:t>62</w:t>
      </w:r>
      <w:r w:rsidR="005E14E5">
        <w:rPr>
          <w:sz w:val="24"/>
          <w:szCs w:val="24"/>
        </w:rPr>
        <w:t>% corresponden a</w:t>
      </w:r>
      <w:r w:rsidR="009D44DC">
        <w:rPr>
          <w:sz w:val="24"/>
          <w:szCs w:val="24"/>
        </w:rPr>
        <w:t>l sector privado en donde aparecen</w:t>
      </w:r>
      <w:r w:rsidR="005E14E5">
        <w:rPr>
          <w:sz w:val="24"/>
          <w:szCs w:val="24"/>
        </w:rPr>
        <w:t xml:space="preserve"> </w:t>
      </w:r>
      <w:r w:rsidR="0072128D">
        <w:rPr>
          <w:sz w:val="24"/>
          <w:szCs w:val="24"/>
        </w:rPr>
        <w:t>empresas (15%), lo cual demuestra</w:t>
      </w:r>
      <w:r w:rsidR="0072128D" w:rsidRPr="00781704">
        <w:rPr>
          <w:sz w:val="24"/>
          <w:szCs w:val="24"/>
        </w:rPr>
        <w:t xml:space="preserve"> la corresponsabilidad contundente </w:t>
      </w:r>
      <w:r w:rsidR="0072128D">
        <w:rPr>
          <w:sz w:val="24"/>
          <w:szCs w:val="24"/>
        </w:rPr>
        <w:t xml:space="preserve">que ha adquirido el </w:t>
      </w:r>
      <w:r w:rsidR="0072128D" w:rsidRPr="00781704">
        <w:rPr>
          <w:sz w:val="24"/>
          <w:szCs w:val="24"/>
        </w:rPr>
        <w:t xml:space="preserve">sector privado en hechos de </w:t>
      </w:r>
      <w:r w:rsidR="0072128D">
        <w:rPr>
          <w:sz w:val="24"/>
          <w:szCs w:val="24"/>
        </w:rPr>
        <w:t xml:space="preserve">corrupción. </w:t>
      </w:r>
    </w:p>
    <w:p w:rsidR="0072128D" w:rsidRPr="0000717E" w:rsidRDefault="002D65E6" w:rsidP="0072128D">
      <w:pPr>
        <w:jc w:val="both"/>
        <w:rPr>
          <w:rFonts w:asciiTheme="majorHAnsi" w:eastAsiaTheme="majorEastAsia" w:hAnsiTheme="majorHAnsi" w:cstheme="majorBidi"/>
          <w:b/>
          <w:color w:val="000000" w:themeColor="text1"/>
          <w:sz w:val="24"/>
          <w:szCs w:val="36"/>
        </w:rPr>
      </w:pPr>
      <w:r w:rsidRPr="0000717E">
        <w:rPr>
          <w:rFonts w:asciiTheme="majorHAnsi" w:eastAsiaTheme="majorEastAsia" w:hAnsiTheme="majorHAnsi" w:cstheme="majorBidi"/>
          <w:b/>
          <w:color w:val="000000" w:themeColor="text1"/>
          <w:sz w:val="24"/>
          <w:szCs w:val="36"/>
        </w:rPr>
        <w:t xml:space="preserve">Cuatro delitos los </w:t>
      </w:r>
      <w:r w:rsidR="0000717E">
        <w:rPr>
          <w:rFonts w:asciiTheme="majorHAnsi" w:eastAsiaTheme="majorEastAsia" w:hAnsiTheme="majorHAnsi" w:cstheme="majorBidi"/>
          <w:b/>
          <w:color w:val="000000" w:themeColor="text1"/>
          <w:sz w:val="24"/>
          <w:szCs w:val="36"/>
        </w:rPr>
        <w:t xml:space="preserve">más </w:t>
      </w:r>
      <w:r w:rsidRPr="0000717E">
        <w:rPr>
          <w:rFonts w:asciiTheme="majorHAnsi" w:eastAsiaTheme="majorEastAsia" w:hAnsiTheme="majorHAnsi" w:cstheme="majorBidi"/>
          <w:b/>
          <w:color w:val="000000" w:themeColor="text1"/>
          <w:sz w:val="24"/>
          <w:szCs w:val="36"/>
        </w:rPr>
        <w:t>cometidos</w:t>
      </w:r>
      <w:r w:rsidR="00E150F4">
        <w:rPr>
          <w:rFonts w:asciiTheme="majorHAnsi" w:eastAsiaTheme="majorEastAsia" w:hAnsiTheme="majorHAnsi" w:cstheme="majorBidi"/>
          <w:b/>
          <w:color w:val="000000" w:themeColor="text1"/>
          <w:sz w:val="24"/>
          <w:szCs w:val="36"/>
        </w:rPr>
        <w:t>. Las</w:t>
      </w:r>
      <w:r w:rsidR="0000717E">
        <w:rPr>
          <w:rFonts w:asciiTheme="majorHAnsi" w:eastAsiaTheme="majorEastAsia" w:hAnsiTheme="majorHAnsi" w:cstheme="majorBidi"/>
          <w:b/>
          <w:color w:val="000000" w:themeColor="text1"/>
          <w:sz w:val="24"/>
          <w:szCs w:val="36"/>
        </w:rPr>
        <w:t xml:space="preserve"> sanciones se concentran en un enfoque netamente punitivo donde la justicia tarda en </w:t>
      </w:r>
      <w:commentRangeStart w:id="11"/>
      <w:r w:rsidR="0000717E">
        <w:rPr>
          <w:rFonts w:asciiTheme="majorHAnsi" w:eastAsiaTheme="majorEastAsia" w:hAnsiTheme="majorHAnsi" w:cstheme="majorBidi"/>
          <w:b/>
          <w:color w:val="000000" w:themeColor="text1"/>
          <w:sz w:val="24"/>
          <w:szCs w:val="36"/>
        </w:rPr>
        <w:t>llegar</w:t>
      </w:r>
      <w:commentRangeEnd w:id="11"/>
      <w:r w:rsidR="00915FCF">
        <w:rPr>
          <w:rStyle w:val="Refdecomentario"/>
          <w:rFonts w:ascii="Calibri" w:eastAsia="Calibri" w:hAnsi="Calibri" w:cs="Times New Roman"/>
        </w:rPr>
        <w:commentReference w:id="11"/>
      </w:r>
      <w:r w:rsidR="0000717E">
        <w:rPr>
          <w:rFonts w:asciiTheme="majorHAnsi" w:eastAsiaTheme="majorEastAsia" w:hAnsiTheme="majorHAnsi" w:cstheme="majorBidi"/>
          <w:b/>
          <w:color w:val="000000" w:themeColor="text1"/>
          <w:sz w:val="24"/>
          <w:szCs w:val="36"/>
        </w:rPr>
        <w:t xml:space="preserve"> </w:t>
      </w:r>
    </w:p>
    <w:p w:rsidR="0072128D" w:rsidRPr="00215E91" w:rsidRDefault="002D65E6" w:rsidP="0072128D">
      <w:pPr>
        <w:jc w:val="both"/>
        <w:rPr>
          <w:sz w:val="24"/>
          <w:szCs w:val="24"/>
        </w:rPr>
      </w:pPr>
      <w:r>
        <w:rPr>
          <w:sz w:val="24"/>
          <w:szCs w:val="24"/>
        </w:rPr>
        <w:t>Peculado (18%), celebración indebida de contratos (13%), falsedad en documento público (12%</w:t>
      </w:r>
      <w:r w:rsidR="00BB778B">
        <w:rPr>
          <w:sz w:val="24"/>
          <w:szCs w:val="24"/>
        </w:rPr>
        <w:t>) y</w:t>
      </w:r>
      <w:r>
        <w:rPr>
          <w:sz w:val="24"/>
          <w:szCs w:val="24"/>
        </w:rPr>
        <w:t xml:space="preserve"> concierto para delinquir (11%) fueron los delitos más cometidos en los hechos de corrupción identificados por el Monitor Ciudadano. Así mismo, en cuanto a los tipos de investigación de los actores involucrados, se registra que el 71% fueron</w:t>
      </w:r>
      <w:r w:rsidR="009162DE">
        <w:rPr>
          <w:sz w:val="24"/>
          <w:szCs w:val="24"/>
        </w:rPr>
        <w:t xml:space="preserve"> de</w:t>
      </w:r>
      <w:r>
        <w:rPr>
          <w:sz w:val="24"/>
          <w:szCs w:val="24"/>
        </w:rPr>
        <w:t xml:space="preserve"> tipo penal, 21% de carácter </w:t>
      </w:r>
      <w:r w:rsidR="00BB778B">
        <w:rPr>
          <w:sz w:val="24"/>
          <w:szCs w:val="24"/>
        </w:rPr>
        <w:t>disciplinario</w:t>
      </w:r>
      <w:r w:rsidR="0000717E">
        <w:rPr>
          <w:sz w:val="24"/>
          <w:szCs w:val="24"/>
        </w:rPr>
        <w:t xml:space="preserve"> y el</w:t>
      </w:r>
      <w:r>
        <w:rPr>
          <w:sz w:val="24"/>
          <w:szCs w:val="24"/>
        </w:rPr>
        <w:t xml:space="preserve"> 8% de tipo fiscal</w:t>
      </w:r>
      <w:r w:rsidR="005D3264">
        <w:rPr>
          <w:sz w:val="24"/>
          <w:szCs w:val="24"/>
        </w:rPr>
        <w:t xml:space="preserve">. </w:t>
      </w:r>
      <w:r w:rsidR="0000717E">
        <w:rPr>
          <w:sz w:val="24"/>
          <w:szCs w:val="24"/>
        </w:rPr>
        <w:t>El Monitor Ciudadano también calculó el promedio de años que tardó la aplicación de condena, sanción disciplinaria y/o fiscal para los actores involucrados en los hechos de corrupción. Este dato se tomó con base en el año del hecho vs el año final de la sanción</w:t>
      </w:r>
      <w:r w:rsidR="00E65BF5">
        <w:rPr>
          <w:sz w:val="24"/>
          <w:szCs w:val="24"/>
        </w:rPr>
        <w:t>, cuando así aplicó</w:t>
      </w:r>
      <w:r w:rsidR="0000717E">
        <w:rPr>
          <w:sz w:val="24"/>
          <w:szCs w:val="24"/>
        </w:rPr>
        <w:t xml:space="preserve">. Los resultados demostraron que la sanción fiscal tardó en promedio 4,4 años; la condena penal tardó en promedio 4,2 años y la sanción disciplinaria tuvo un tiempo promedio en emitirse de 3,3 años. </w:t>
      </w:r>
      <w:r w:rsidR="00215E91">
        <w:rPr>
          <w:sz w:val="24"/>
          <w:szCs w:val="24"/>
        </w:rPr>
        <w:t xml:space="preserve">Estos resultados son positivos si se tienen en cuenta los datos en comparación al primer informe de Monitor Ciudadano, </w:t>
      </w:r>
      <w:r w:rsidR="00215E91">
        <w:rPr>
          <w:i/>
          <w:sz w:val="24"/>
          <w:szCs w:val="24"/>
        </w:rPr>
        <w:t xml:space="preserve">Corrupción en territorios de paz, </w:t>
      </w:r>
      <w:r w:rsidR="00215E91">
        <w:rPr>
          <w:sz w:val="24"/>
          <w:szCs w:val="24"/>
        </w:rPr>
        <w:t>en donde el promedio obtenido en hechos de corrupción entre 2010 y 2016 fue de la sanción fiscal tardó en promedio 4,8 años; la condena penal tardó en promedio 8,2 años y la sanción disciplinaria tuvo un tiempo promedio de emisión de condena de 3,8 años.</w:t>
      </w:r>
      <w:r w:rsidR="00215E91">
        <w:rPr>
          <w:rStyle w:val="Refdenotaalpie"/>
          <w:sz w:val="24"/>
          <w:szCs w:val="24"/>
        </w:rPr>
        <w:footnoteReference w:id="10"/>
      </w:r>
      <w:r w:rsidR="00215E91">
        <w:rPr>
          <w:sz w:val="24"/>
          <w:szCs w:val="24"/>
        </w:rPr>
        <w:t xml:space="preserve"> </w:t>
      </w:r>
    </w:p>
    <w:p w:rsidR="00487097" w:rsidRDefault="0056661E" w:rsidP="0072128D">
      <w:pPr>
        <w:jc w:val="both"/>
        <w:rPr>
          <w:rFonts w:asciiTheme="majorHAnsi" w:eastAsiaTheme="majorEastAsia" w:hAnsiTheme="majorHAnsi" w:cstheme="majorBidi"/>
          <w:b/>
          <w:color w:val="000000" w:themeColor="text1"/>
          <w:sz w:val="24"/>
          <w:szCs w:val="36"/>
        </w:rPr>
      </w:pPr>
      <w:r w:rsidRPr="0056661E">
        <w:rPr>
          <w:rFonts w:asciiTheme="majorHAnsi" w:eastAsiaTheme="majorEastAsia" w:hAnsiTheme="majorHAnsi" w:cstheme="majorBidi"/>
          <w:b/>
          <w:color w:val="000000" w:themeColor="text1"/>
          <w:sz w:val="24"/>
          <w:szCs w:val="36"/>
        </w:rPr>
        <w:t>L</w:t>
      </w:r>
      <w:r>
        <w:rPr>
          <w:rFonts w:asciiTheme="majorHAnsi" w:eastAsiaTheme="majorEastAsia" w:hAnsiTheme="majorHAnsi" w:cstheme="majorBidi"/>
          <w:b/>
          <w:color w:val="000000" w:themeColor="text1"/>
          <w:sz w:val="24"/>
          <w:szCs w:val="36"/>
        </w:rPr>
        <w:t>o</w:t>
      </w:r>
      <w:r w:rsidRPr="0056661E">
        <w:rPr>
          <w:rFonts w:asciiTheme="majorHAnsi" w:eastAsiaTheme="majorEastAsia" w:hAnsiTheme="majorHAnsi" w:cstheme="majorBidi"/>
          <w:b/>
          <w:color w:val="000000" w:themeColor="text1"/>
          <w:sz w:val="24"/>
          <w:szCs w:val="36"/>
        </w:rPr>
        <w:t xml:space="preserve">s </w:t>
      </w:r>
      <w:r w:rsidR="000A4687">
        <w:rPr>
          <w:rFonts w:asciiTheme="majorHAnsi" w:eastAsiaTheme="majorEastAsia" w:hAnsiTheme="majorHAnsi" w:cstheme="majorBidi"/>
          <w:b/>
          <w:color w:val="000000" w:themeColor="text1"/>
          <w:sz w:val="24"/>
          <w:szCs w:val="36"/>
        </w:rPr>
        <w:t xml:space="preserve">casos </w:t>
      </w:r>
      <w:r w:rsidR="000A4687" w:rsidRPr="0056661E">
        <w:rPr>
          <w:rFonts w:asciiTheme="majorHAnsi" w:eastAsiaTheme="majorEastAsia" w:hAnsiTheme="majorHAnsi" w:cstheme="majorBidi"/>
          <w:b/>
          <w:color w:val="000000" w:themeColor="text1"/>
          <w:sz w:val="24"/>
          <w:szCs w:val="36"/>
        </w:rPr>
        <w:t>de</w:t>
      </w:r>
      <w:r w:rsidRPr="0056661E">
        <w:rPr>
          <w:rFonts w:asciiTheme="majorHAnsi" w:eastAsiaTheme="majorEastAsia" w:hAnsiTheme="majorHAnsi" w:cstheme="majorBidi"/>
          <w:b/>
          <w:color w:val="000000" w:themeColor="text1"/>
          <w:sz w:val="24"/>
          <w:szCs w:val="36"/>
        </w:rPr>
        <w:t xml:space="preserve"> </w:t>
      </w:r>
      <w:r>
        <w:rPr>
          <w:rFonts w:asciiTheme="majorHAnsi" w:eastAsiaTheme="majorEastAsia" w:hAnsiTheme="majorHAnsi" w:cstheme="majorBidi"/>
          <w:b/>
          <w:color w:val="000000" w:themeColor="text1"/>
          <w:sz w:val="24"/>
          <w:szCs w:val="36"/>
        </w:rPr>
        <w:t>c</w:t>
      </w:r>
      <w:r w:rsidRPr="0056661E">
        <w:rPr>
          <w:rFonts w:asciiTheme="majorHAnsi" w:eastAsiaTheme="majorEastAsia" w:hAnsiTheme="majorHAnsi" w:cstheme="majorBidi"/>
          <w:b/>
          <w:color w:val="000000" w:themeColor="text1"/>
          <w:sz w:val="24"/>
          <w:szCs w:val="36"/>
        </w:rPr>
        <w:t>orrupción: De todo como en</w:t>
      </w:r>
      <w:r w:rsidR="00DD305F">
        <w:rPr>
          <w:rFonts w:asciiTheme="majorHAnsi" w:eastAsiaTheme="majorEastAsia" w:hAnsiTheme="majorHAnsi" w:cstheme="majorBidi"/>
          <w:b/>
          <w:color w:val="000000" w:themeColor="text1"/>
          <w:sz w:val="24"/>
          <w:szCs w:val="36"/>
        </w:rPr>
        <w:t xml:space="preserve"> Farmacia</w:t>
      </w:r>
    </w:p>
    <w:p w:rsidR="00694FE0" w:rsidRDefault="0056661E" w:rsidP="00BC74AC">
      <w:pPr>
        <w:jc w:val="both"/>
        <w:rPr>
          <w:sz w:val="24"/>
          <w:szCs w:val="24"/>
        </w:rPr>
      </w:pPr>
      <w:r>
        <w:rPr>
          <w:sz w:val="24"/>
          <w:szCs w:val="24"/>
        </w:rPr>
        <w:t xml:space="preserve">Cada uno de los </w:t>
      </w:r>
      <w:r w:rsidRPr="0056661E">
        <w:rPr>
          <w:sz w:val="24"/>
          <w:szCs w:val="24"/>
        </w:rPr>
        <w:t>327 hechos recopilados por el Monitor Ciudadano ha sido reconstituido por el equipo de investigadores con un</w:t>
      </w:r>
      <w:r>
        <w:rPr>
          <w:sz w:val="24"/>
          <w:szCs w:val="24"/>
        </w:rPr>
        <w:t xml:space="preserve">a cronología detallada de los hechos, un </w:t>
      </w:r>
      <w:r w:rsidRPr="0056661E">
        <w:rPr>
          <w:sz w:val="24"/>
          <w:szCs w:val="24"/>
        </w:rPr>
        <w:t>resumen</w:t>
      </w:r>
      <w:r>
        <w:rPr>
          <w:sz w:val="24"/>
          <w:szCs w:val="24"/>
        </w:rPr>
        <w:t xml:space="preserve"> y </w:t>
      </w:r>
      <w:r w:rsidRPr="0056661E">
        <w:rPr>
          <w:sz w:val="24"/>
          <w:szCs w:val="24"/>
        </w:rPr>
        <w:t>un título</w:t>
      </w:r>
      <w:r>
        <w:rPr>
          <w:sz w:val="24"/>
          <w:szCs w:val="24"/>
        </w:rPr>
        <w:t>. Los casos son numerosos y variados</w:t>
      </w:r>
      <w:r w:rsidR="008207C6">
        <w:rPr>
          <w:sz w:val="24"/>
          <w:szCs w:val="24"/>
        </w:rPr>
        <w:t xml:space="preserve">- desde </w:t>
      </w:r>
      <w:r w:rsidR="00A3476A">
        <w:rPr>
          <w:sz w:val="24"/>
          <w:szCs w:val="24"/>
        </w:rPr>
        <w:t xml:space="preserve">desvío </w:t>
      </w:r>
      <w:r w:rsidR="008207C6">
        <w:rPr>
          <w:sz w:val="24"/>
          <w:szCs w:val="24"/>
        </w:rPr>
        <w:t>de dinero destinado a la entrega de canoas a pescadores</w:t>
      </w:r>
      <w:r w:rsidR="00A3476A">
        <w:rPr>
          <w:sz w:val="24"/>
          <w:szCs w:val="24"/>
        </w:rPr>
        <w:t>, un</w:t>
      </w:r>
      <w:r w:rsidR="008207C6">
        <w:rPr>
          <w:sz w:val="24"/>
          <w:szCs w:val="24"/>
        </w:rPr>
        <w:t xml:space="preserve"> secretario de infraestructura que aprobaba compra</w:t>
      </w:r>
      <w:r w:rsidR="00551A05">
        <w:rPr>
          <w:sz w:val="24"/>
          <w:szCs w:val="24"/>
        </w:rPr>
        <w:t>s</w:t>
      </w:r>
      <w:r w:rsidR="008207C6">
        <w:rPr>
          <w:sz w:val="24"/>
          <w:szCs w:val="24"/>
        </w:rPr>
        <w:t xml:space="preserve"> </w:t>
      </w:r>
      <w:r w:rsidR="008207C6">
        <w:rPr>
          <w:sz w:val="24"/>
          <w:szCs w:val="24"/>
        </w:rPr>
        <w:lastRenderedPageBreak/>
        <w:t xml:space="preserve">de </w:t>
      </w:r>
      <w:r w:rsidR="00551A05">
        <w:rPr>
          <w:sz w:val="24"/>
          <w:szCs w:val="24"/>
        </w:rPr>
        <w:t xml:space="preserve">dudosa </w:t>
      </w:r>
      <w:r w:rsidR="008207C6">
        <w:rPr>
          <w:sz w:val="24"/>
          <w:szCs w:val="24"/>
        </w:rPr>
        <w:t>maquinarias  a</w:t>
      </w:r>
      <w:r w:rsidR="00551A05">
        <w:rPr>
          <w:sz w:val="24"/>
          <w:szCs w:val="24"/>
        </w:rPr>
        <w:t>l</w:t>
      </w:r>
      <w:r w:rsidR="008207C6">
        <w:rPr>
          <w:sz w:val="24"/>
          <w:szCs w:val="24"/>
        </w:rPr>
        <w:t xml:space="preserve"> precio  de mejor calidad</w:t>
      </w:r>
      <w:r w:rsidR="00551A05">
        <w:rPr>
          <w:sz w:val="24"/>
          <w:szCs w:val="24"/>
        </w:rPr>
        <w:t>,</w:t>
      </w:r>
      <w:r w:rsidR="008207C6">
        <w:rPr>
          <w:sz w:val="24"/>
          <w:szCs w:val="24"/>
        </w:rPr>
        <w:t xml:space="preserve"> hasta toda una logística de compra y venta de votos creada por una candidata al senado en las elecciones de marzo de 2018.</w:t>
      </w:r>
      <w:r w:rsidR="00A3476A">
        <w:rPr>
          <w:sz w:val="24"/>
          <w:szCs w:val="24"/>
        </w:rPr>
        <w:t xml:space="preserve"> Todos estos casos están a disposición del público mediante fichas de consulta descargables </w:t>
      </w:r>
      <w:r w:rsidRPr="0056661E">
        <w:rPr>
          <w:sz w:val="24"/>
          <w:szCs w:val="24"/>
        </w:rPr>
        <w:t>en la plataforma</w:t>
      </w:r>
      <w:r w:rsidR="00A3476A">
        <w:rPr>
          <w:sz w:val="24"/>
          <w:szCs w:val="24"/>
        </w:rPr>
        <w:t xml:space="preserve"> de Monitor Ciudadano: </w:t>
      </w:r>
      <w:hyperlink r:id="rId9" w:history="1">
        <w:r w:rsidR="00A3476A" w:rsidRPr="00044E57">
          <w:rPr>
            <w:b/>
            <w:sz w:val="24"/>
            <w:szCs w:val="24"/>
            <w:u w:val="single"/>
          </w:rPr>
          <w:t>www.monitorciudadano.co</w:t>
        </w:r>
      </w:hyperlink>
      <w:r w:rsidR="00BC74AC">
        <w:rPr>
          <w:sz w:val="24"/>
          <w:szCs w:val="24"/>
        </w:rPr>
        <w:t xml:space="preserve"> </w:t>
      </w:r>
    </w:p>
    <w:p w:rsidR="0000717E" w:rsidRDefault="0000717E" w:rsidP="0000717E">
      <w:pPr>
        <w:pStyle w:val="Sinespaciado"/>
        <w:jc w:val="both"/>
        <w:rPr>
          <w:rFonts w:asciiTheme="majorHAnsi" w:eastAsiaTheme="majorEastAsia" w:hAnsiTheme="majorHAnsi" w:cstheme="majorBidi"/>
          <w:b/>
          <w:color w:val="000000" w:themeColor="text1"/>
          <w:sz w:val="28"/>
          <w:szCs w:val="36"/>
        </w:rPr>
      </w:pPr>
    </w:p>
    <w:p w:rsidR="00FC5B84" w:rsidRPr="00C814A2" w:rsidRDefault="00782E3E" w:rsidP="00621D5C">
      <w:pPr>
        <w:pStyle w:val="Sinespaciado"/>
        <w:numPr>
          <w:ilvl w:val="0"/>
          <w:numId w:val="6"/>
        </w:numPr>
        <w:jc w:val="both"/>
        <w:rPr>
          <w:rFonts w:asciiTheme="majorHAnsi" w:eastAsiaTheme="majorEastAsia" w:hAnsiTheme="majorHAnsi" w:cstheme="majorBidi"/>
          <w:b/>
          <w:color w:val="000000" w:themeColor="text1"/>
          <w:sz w:val="28"/>
          <w:szCs w:val="36"/>
        </w:rPr>
      </w:pPr>
      <w:bookmarkStart w:id="12" w:name="_Toc519496649"/>
      <w:r w:rsidRPr="00C814A2">
        <w:rPr>
          <w:rFonts w:asciiTheme="majorHAnsi" w:eastAsiaTheme="majorEastAsia" w:hAnsiTheme="majorHAnsi" w:cstheme="majorBidi"/>
          <w:b/>
          <w:color w:val="000000" w:themeColor="text1"/>
          <w:sz w:val="28"/>
          <w:szCs w:val="36"/>
        </w:rPr>
        <w:t>¿D</w:t>
      </w:r>
      <w:r w:rsidR="00551A05">
        <w:rPr>
          <w:rFonts w:asciiTheme="majorHAnsi" w:eastAsiaTheme="majorEastAsia" w:hAnsiTheme="majorHAnsi" w:cstheme="majorBidi"/>
          <w:b/>
          <w:color w:val="000000" w:themeColor="text1"/>
          <w:sz w:val="28"/>
          <w:szCs w:val="36"/>
        </w:rPr>
        <w:t>ó</w:t>
      </w:r>
      <w:r w:rsidRPr="00C814A2">
        <w:rPr>
          <w:rFonts w:asciiTheme="majorHAnsi" w:eastAsiaTheme="majorEastAsia" w:hAnsiTheme="majorHAnsi" w:cstheme="majorBidi"/>
          <w:b/>
          <w:color w:val="000000" w:themeColor="text1"/>
          <w:sz w:val="28"/>
          <w:szCs w:val="36"/>
        </w:rPr>
        <w:t xml:space="preserve">nde? </w:t>
      </w:r>
      <w:r w:rsidR="00FC5B84" w:rsidRPr="00C814A2">
        <w:rPr>
          <w:rFonts w:asciiTheme="majorHAnsi" w:eastAsiaTheme="majorEastAsia" w:hAnsiTheme="majorHAnsi" w:cstheme="majorBidi"/>
          <w:b/>
          <w:color w:val="000000" w:themeColor="text1"/>
          <w:sz w:val="28"/>
          <w:szCs w:val="36"/>
        </w:rPr>
        <w:t>Geografía de la corrupción</w:t>
      </w:r>
      <w:bookmarkEnd w:id="12"/>
    </w:p>
    <w:p w:rsidR="00782E3E" w:rsidRDefault="00782E3E" w:rsidP="00FC5B84">
      <w:pPr>
        <w:spacing w:after="0" w:line="240" w:lineRule="auto"/>
        <w:jc w:val="both"/>
        <w:rPr>
          <w:sz w:val="24"/>
          <w:szCs w:val="24"/>
        </w:rPr>
      </w:pPr>
    </w:p>
    <w:p w:rsidR="00DD305F" w:rsidRDefault="006E76A5">
      <w:pPr>
        <w:spacing w:after="0" w:line="240" w:lineRule="auto"/>
        <w:jc w:val="both"/>
        <w:rPr>
          <w:b/>
          <w:i/>
          <w:sz w:val="24"/>
          <w:szCs w:val="24"/>
        </w:rPr>
      </w:pPr>
      <w:r w:rsidRPr="000274BE">
        <w:rPr>
          <w:b/>
          <w:i/>
          <w:sz w:val="24"/>
          <w:szCs w:val="24"/>
        </w:rPr>
        <w:t>Entre enero de 2016 y julio de 2018 el Monitor Ciudadano identificó 327 hechos de corrupción ocurridos, reportados y sancionados en el territorio colombiano. El 69% de los hechos son de alcance municipal, 25% de nivel departamental y un 6% de hechos restantes correspondieron a hechos de alcance nacional.</w:t>
      </w:r>
      <w:r w:rsidR="00215E91">
        <w:rPr>
          <w:rStyle w:val="Refdenotaalpie"/>
          <w:b/>
          <w:i/>
          <w:sz w:val="24"/>
          <w:szCs w:val="24"/>
        </w:rPr>
        <w:footnoteReference w:id="11"/>
      </w:r>
      <w:r w:rsidRPr="000274BE">
        <w:rPr>
          <w:b/>
          <w:i/>
          <w:sz w:val="24"/>
          <w:szCs w:val="24"/>
        </w:rPr>
        <w:t xml:space="preserve"> </w:t>
      </w:r>
    </w:p>
    <w:p w:rsidR="00CE0F57" w:rsidRPr="00CE0F57" w:rsidRDefault="00CE0F57">
      <w:pPr>
        <w:spacing w:after="0" w:line="240" w:lineRule="auto"/>
        <w:jc w:val="both"/>
        <w:rPr>
          <w:sz w:val="24"/>
          <w:szCs w:val="24"/>
        </w:rPr>
      </w:pPr>
    </w:p>
    <w:p w:rsidR="00CE0F57" w:rsidRDefault="00CE0F57" w:rsidP="00CE0F57">
      <w:pPr>
        <w:spacing w:after="0" w:line="240" w:lineRule="auto"/>
        <w:ind w:left="360"/>
        <w:jc w:val="both"/>
        <w:rPr>
          <w:b/>
          <w:sz w:val="24"/>
          <w:szCs w:val="24"/>
        </w:rPr>
      </w:pPr>
      <w:r>
        <w:rPr>
          <w:b/>
          <w:sz w:val="24"/>
          <w:szCs w:val="24"/>
        </w:rPr>
        <w:t xml:space="preserve">Gráfica #1. Porcentaje de hechos reportados por la prensa según su alcance </w:t>
      </w:r>
    </w:p>
    <w:p w:rsidR="00CE0F57" w:rsidRDefault="00CE0F57" w:rsidP="00CE0F57">
      <w:pPr>
        <w:spacing w:after="0" w:line="240" w:lineRule="auto"/>
        <w:ind w:left="360"/>
        <w:jc w:val="both"/>
        <w:rPr>
          <w:b/>
          <w:sz w:val="24"/>
          <w:szCs w:val="24"/>
        </w:rPr>
      </w:pPr>
    </w:p>
    <w:p w:rsidR="00CE0F57" w:rsidRDefault="00CE0F57" w:rsidP="00CE0F57">
      <w:pPr>
        <w:spacing w:after="0" w:line="240" w:lineRule="auto"/>
        <w:ind w:left="360"/>
        <w:jc w:val="center"/>
        <w:rPr>
          <w:b/>
          <w:sz w:val="24"/>
          <w:szCs w:val="24"/>
        </w:rPr>
      </w:pPr>
      <w:r w:rsidRPr="00CE0F57">
        <w:rPr>
          <w:b/>
          <w:noProof/>
          <w:sz w:val="24"/>
          <w:szCs w:val="24"/>
          <w:lang w:eastAsia="es-CO"/>
        </w:rPr>
        <w:drawing>
          <wp:inline distT="0" distB="0" distL="0" distR="0">
            <wp:extent cx="3664430" cy="2622431"/>
            <wp:effectExtent l="19050" t="0" r="12220" b="6469"/>
            <wp:docPr id="24" name="Gráfico 1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E0F57" w:rsidRPr="004D6BE6" w:rsidRDefault="00CE0F57" w:rsidP="00CE0F57">
      <w:pPr>
        <w:spacing w:after="200" w:line="276" w:lineRule="auto"/>
        <w:jc w:val="center"/>
        <w:rPr>
          <w:rFonts w:asciiTheme="majorHAnsi" w:eastAsiaTheme="majorEastAsia" w:hAnsiTheme="majorHAnsi" w:cstheme="majorBidi"/>
          <w:b/>
          <w:color w:val="000000" w:themeColor="text1"/>
          <w:sz w:val="20"/>
          <w:szCs w:val="36"/>
        </w:rPr>
      </w:pPr>
      <w:r w:rsidRPr="00450500">
        <w:rPr>
          <w:rFonts w:eastAsiaTheme="majorEastAsia" w:cstheme="majorBidi"/>
          <w:color w:val="000000" w:themeColor="text1"/>
          <w:sz w:val="20"/>
          <w:szCs w:val="36"/>
        </w:rPr>
        <w:t>Fuente: Datos Monitor Ciudadano (2016-2018)</w:t>
      </w:r>
    </w:p>
    <w:p w:rsidR="00CE0F57" w:rsidRPr="004D6BE6" w:rsidRDefault="00CE0F57" w:rsidP="00CE0F57">
      <w:pPr>
        <w:spacing w:after="0" w:line="240" w:lineRule="auto"/>
        <w:rPr>
          <w:b/>
          <w:sz w:val="24"/>
          <w:szCs w:val="24"/>
        </w:rPr>
      </w:pPr>
    </w:p>
    <w:p w:rsidR="0086427F" w:rsidRDefault="00E51DD6" w:rsidP="00FC5B84">
      <w:pPr>
        <w:spacing w:after="0" w:line="240" w:lineRule="auto"/>
        <w:jc w:val="both"/>
        <w:rPr>
          <w:sz w:val="24"/>
          <w:szCs w:val="24"/>
        </w:rPr>
      </w:pPr>
      <w:r>
        <w:rPr>
          <w:sz w:val="24"/>
          <w:szCs w:val="24"/>
        </w:rPr>
        <w:lastRenderedPageBreak/>
        <w:t>Los resultados obtenidos muestran que e</w:t>
      </w:r>
      <w:r w:rsidR="00C814A2" w:rsidRPr="00B37EB7">
        <w:rPr>
          <w:sz w:val="24"/>
          <w:szCs w:val="24"/>
        </w:rPr>
        <w:t xml:space="preserve">l 45% de los hechos </w:t>
      </w:r>
      <w:r w:rsidR="00BA2F90">
        <w:rPr>
          <w:sz w:val="24"/>
          <w:szCs w:val="24"/>
        </w:rPr>
        <w:t xml:space="preserve">de corrupción </w:t>
      </w:r>
      <w:r w:rsidR="00A86605">
        <w:rPr>
          <w:sz w:val="24"/>
          <w:szCs w:val="24"/>
        </w:rPr>
        <w:t xml:space="preserve">registrados </w:t>
      </w:r>
      <w:r w:rsidR="00C814A2" w:rsidRPr="00B37EB7">
        <w:rPr>
          <w:sz w:val="24"/>
          <w:szCs w:val="24"/>
        </w:rPr>
        <w:t xml:space="preserve">se concentraron en cinco </w:t>
      </w:r>
      <w:r w:rsidR="00A86605">
        <w:rPr>
          <w:sz w:val="24"/>
          <w:szCs w:val="24"/>
        </w:rPr>
        <w:t xml:space="preserve">de los 32 </w:t>
      </w:r>
      <w:r w:rsidR="00C814A2" w:rsidRPr="00B37EB7">
        <w:rPr>
          <w:sz w:val="24"/>
          <w:szCs w:val="24"/>
        </w:rPr>
        <w:t>departamen</w:t>
      </w:r>
      <w:r w:rsidR="00CB1848" w:rsidRPr="00B37EB7">
        <w:rPr>
          <w:sz w:val="24"/>
          <w:szCs w:val="24"/>
        </w:rPr>
        <w:t xml:space="preserve">tos </w:t>
      </w:r>
      <w:r w:rsidR="00BA2F90">
        <w:rPr>
          <w:sz w:val="24"/>
          <w:szCs w:val="24"/>
        </w:rPr>
        <w:t>de</w:t>
      </w:r>
      <w:r w:rsidR="00A86605">
        <w:rPr>
          <w:sz w:val="24"/>
          <w:szCs w:val="24"/>
        </w:rPr>
        <w:t>l</w:t>
      </w:r>
      <w:r w:rsidR="00BA2F90">
        <w:rPr>
          <w:sz w:val="24"/>
          <w:szCs w:val="24"/>
        </w:rPr>
        <w:t xml:space="preserve"> </w:t>
      </w:r>
      <w:r w:rsidR="00A86605">
        <w:rPr>
          <w:sz w:val="24"/>
          <w:szCs w:val="24"/>
        </w:rPr>
        <w:t>país</w:t>
      </w:r>
      <w:r w:rsidR="00551A05">
        <w:rPr>
          <w:sz w:val="24"/>
          <w:szCs w:val="24"/>
        </w:rPr>
        <w:t>:</w:t>
      </w:r>
      <w:r w:rsidR="00A86605">
        <w:rPr>
          <w:sz w:val="24"/>
          <w:szCs w:val="24"/>
        </w:rPr>
        <w:t xml:space="preserve"> </w:t>
      </w:r>
      <w:r w:rsidR="00C814A2" w:rsidRPr="00B37EB7">
        <w:rPr>
          <w:sz w:val="24"/>
          <w:szCs w:val="24"/>
        </w:rPr>
        <w:t>Santander (14%)</w:t>
      </w:r>
      <w:r w:rsidR="00A86605">
        <w:rPr>
          <w:sz w:val="24"/>
          <w:szCs w:val="24"/>
        </w:rPr>
        <w:t xml:space="preserve">, </w:t>
      </w:r>
      <w:r w:rsidR="00C814A2" w:rsidRPr="00B37EB7">
        <w:rPr>
          <w:sz w:val="24"/>
          <w:szCs w:val="24"/>
        </w:rPr>
        <w:t>Atlántico (10%)</w:t>
      </w:r>
      <w:r w:rsidR="00146FEC">
        <w:rPr>
          <w:sz w:val="24"/>
          <w:szCs w:val="24"/>
        </w:rPr>
        <w:t>,</w:t>
      </w:r>
      <w:r w:rsidR="00146FEC" w:rsidRPr="00B37EB7">
        <w:rPr>
          <w:sz w:val="24"/>
          <w:szCs w:val="24"/>
        </w:rPr>
        <w:t xml:space="preserve"> Valle</w:t>
      </w:r>
      <w:r w:rsidR="00C814A2" w:rsidRPr="00B37EB7">
        <w:rPr>
          <w:sz w:val="24"/>
          <w:szCs w:val="24"/>
        </w:rPr>
        <w:t xml:space="preserve"> del Cauca (8%)</w:t>
      </w:r>
      <w:r w:rsidR="009B694F">
        <w:rPr>
          <w:sz w:val="24"/>
          <w:szCs w:val="24"/>
        </w:rPr>
        <w:t>,</w:t>
      </w:r>
      <w:r w:rsidR="009B694F" w:rsidRPr="00B37EB7">
        <w:rPr>
          <w:sz w:val="24"/>
          <w:szCs w:val="24"/>
        </w:rPr>
        <w:t xml:space="preserve"> Bolívar</w:t>
      </w:r>
      <w:r w:rsidR="00C814A2" w:rsidRPr="00B37EB7">
        <w:rPr>
          <w:sz w:val="24"/>
          <w:szCs w:val="24"/>
        </w:rPr>
        <w:t xml:space="preserve"> (7%</w:t>
      </w:r>
      <w:r w:rsidR="008547AF" w:rsidRPr="00B37EB7">
        <w:rPr>
          <w:sz w:val="24"/>
          <w:szCs w:val="24"/>
        </w:rPr>
        <w:t>) y</w:t>
      </w:r>
      <w:r w:rsidR="00CB1848" w:rsidRPr="00B37EB7">
        <w:rPr>
          <w:sz w:val="24"/>
          <w:szCs w:val="24"/>
        </w:rPr>
        <w:t xml:space="preserve"> </w:t>
      </w:r>
      <w:r w:rsidR="00C814A2" w:rsidRPr="00B37EB7">
        <w:rPr>
          <w:sz w:val="24"/>
          <w:szCs w:val="24"/>
        </w:rPr>
        <w:t xml:space="preserve">Antioquia (6%). </w:t>
      </w:r>
      <w:r w:rsidR="00226B7E">
        <w:rPr>
          <w:sz w:val="24"/>
          <w:szCs w:val="24"/>
        </w:rPr>
        <w:t xml:space="preserve">En relación a las ciudades capitales, </w:t>
      </w:r>
      <w:r w:rsidR="00A86605">
        <w:rPr>
          <w:sz w:val="24"/>
          <w:szCs w:val="24"/>
        </w:rPr>
        <w:t xml:space="preserve">son las ciudades de </w:t>
      </w:r>
      <w:r w:rsidR="00800DE8">
        <w:rPr>
          <w:sz w:val="24"/>
          <w:szCs w:val="24"/>
        </w:rPr>
        <w:t>Bogotá (7</w:t>
      </w:r>
      <w:r w:rsidR="00B37EB7" w:rsidRPr="00B37EB7">
        <w:rPr>
          <w:sz w:val="24"/>
          <w:szCs w:val="24"/>
        </w:rPr>
        <w:t>%)</w:t>
      </w:r>
      <w:r w:rsidR="00A86605">
        <w:rPr>
          <w:sz w:val="24"/>
          <w:szCs w:val="24"/>
        </w:rPr>
        <w:t xml:space="preserve">, </w:t>
      </w:r>
      <w:r w:rsidR="00B37EB7" w:rsidRPr="00B37EB7">
        <w:rPr>
          <w:sz w:val="24"/>
          <w:szCs w:val="24"/>
        </w:rPr>
        <w:t>Barranq</w:t>
      </w:r>
      <w:r w:rsidR="00800DE8">
        <w:rPr>
          <w:sz w:val="24"/>
          <w:szCs w:val="24"/>
        </w:rPr>
        <w:t>uilla (7</w:t>
      </w:r>
      <w:r w:rsidR="00B37EB7" w:rsidRPr="00B37EB7">
        <w:rPr>
          <w:sz w:val="24"/>
          <w:szCs w:val="24"/>
        </w:rPr>
        <w:t>%)</w:t>
      </w:r>
      <w:r w:rsidR="00A86605">
        <w:rPr>
          <w:sz w:val="24"/>
          <w:szCs w:val="24"/>
        </w:rPr>
        <w:t xml:space="preserve">, </w:t>
      </w:r>
      <w:r w:rsidR="00800DE8">
        <w:rPr>
          <w:sz w:val="24"/>
          <w:szCs w:val="24"/>
        </w:rPr>
        <w:t>Bucaramanga (6</w:t>
      </w:r>
      <w:r w:rsidR="00B37EB7" w:rsidRPr="00B37EB7">
        <w:rPr>
          <w:sz w:val="24"/>
          <w:szCs w:val="24"/>
        </w:rPr>
        <w:t>%)</w:t>
      </w:r>
      <w:r w:rsidR="00A86605">
        <w:rPr>
          <w:sz w:val="24"/>
          <w:szCs w:val="24"/>
        </w:rPr>
        <w:t>,</w:t>
      </w:r>
      <w:r w:rsidR="0059216C">
        <w:rPr>
          <w:sz w:val="24"/>
          <w:szCs w:val="24"/>
        </w:rPr>
        <w:t xml:space="preserve"> </w:t>
      </w:r>
      <w:r w:rsidR="00800DE8">
        <w:rPr>
          <w:sz w:val="24"/>
          <w:szCs w:val="24"/>
        </w:rPr>
        <w:t>Cartagena (6</w:t>
      </w:r>
      <w:r w:rsidR="00B37EB7" w:rsidRPr="00B37EB7">
        <w:rPr>
          <w:sz w:val="24"/>
          <w:szCs w:val="24"/>
        </w:rPr>
        <w:t>%)</w:t>
      </w:r>
      <w:r w:rsidR="0059216C">
        <w:rPr>
          <w:sz w:val="24"/>
          <w:szCs w:val="24"/>
        </w:rPr>
        <w:t xml:space="preserve"> y </w:t>
      </w:r>
      <w:r w:rsidR="00800DE8">
        <w:rPr>
          <w:sz w:val="24"/>
          <w:szCs w:val="24"/>
        </w:rPr>
        <w:t>Medellín (3</w:t>
      </w:r>
      <w:r w:rsidR="0059216C">
        <w:rPr>
          <w:sz w:val="24"/>
          <w:szCs w:val="24"/>
        </w:rPr>
        <w:t>%)</w:t>
      </w:r>
      <w:r w:rsidR="00A86605">
        <w:rPr>
          <w:sz w:val="24"/>
          <w:szCs w:val="24"/>
        </w:rPr>
        <w:t xml:space="preserve"> donde se registra la mayor cantidad de hechos. </w:t>
      </w:r>
    </w:p>
    <w:p w:rsidR="00CE0F57" w:rsidRDefault="00CE0F57" w:rsidP="00FC5B84">
      <w:pPr>
        <w:spacing w:after="0" w:line="240" w:lineRule="auto"/>
        <w:jc w:val="both"/>
        <w:rPr>
          <w:sz w:val="24"/>
          <w:szCs w:val="24"/>
        </w:rPr>
      </w:pPr>
    </w:p>
    <w:p w:rsidR="00CE0F57" w:rsidRDefault="00CE0F57" w:rsidP="00CE0F57">
      <w:pPr>
        <w:spacing w:after="0" w:line="240" w:lineRule="auto"/>
        <w:ind w:left="360"/>
        <w:jc w:val="both"/>
        <w:rPr>
          <w:b/>
          <w:sz w:val="24"/>
          <w:szCs w:val="24"/>
        </w:rPr>
      </w:pPr>
      <w:r>
        <w:rPr>
          <w:b/>
          <w:sz w:val="24"/>
          <w:szCs w:val="24"/>
        </w:rPr>
        <w:t xml:space="preserve">Gráfica #2. Porcentaje de hechos reportados por la prensa según departamento </w:t>
      </w:r>
    </w:p>
    <w:p w:rsidR="00CE0F57" w:rsidRDefault="00CE0F57" w:rsidP="00FC5B84">
      <w:pPr>
        <w:spacing w:after="0" w:line="240" w:lineRule="auto"/>
        <w:jc w:val="both"/>
        <w:rPr>
          <w:sz w:val="24"/>
          <w:szCs w:val="24"/>
        </w:rPr>
      </w:pPr>
    </w:p>
    <w:p w:rsidR="00CE0F57" w:rsidRDefault="00662567" w:rsidP="00FC5B84">
      <w:pPr>
        <w:spacing w:after="0" w:line="240" w:lineRule="auto"/>
        <w:jc w:val="both"/>
        <w:rPr>
          <w:sz w:val="24"/>
          <w:szCs w:val="24"/>
        </w:rPr>
      </w:pPr>
      <w:r>
        <w:rPr>
          <w:noProof/>
          <w:sz w:val="24"/>
          <w:szCs w:val="24"/>
          <w:lang w:eastAsia="es-CO"/>
        </w:rPr>
        <w:drawing>
          <wp:inline distT="0" distB="0" distL="0" distR="0">
            <wp:extent cx="5612130" cy="2433955"/>
            <wp:effectExtent l="19050" t="0" r="26670" b="4445"/>
            <wp:docPr id="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F2EEE" w:rsidRDefault="005F2EEE" w:rsidP="00CE0F57">
      <w:pPr>
        <w:spacing w:after="0" w:line="240" w:lineRule="auto"/>
        <w:jc w:val="center"/>
        <w:rPr>
          <w:rFonts w:eastAsiaTheme="majorEastAsia" w:cstheme="majorBidi"/>
          <w:color w:val="000000" w:themeColor="text1"/>
          <w:sz w:val="20"/>
          <w:szCs w:val="36"/>
        </w:rPr>
      </w:pPr>
    </w:p>
    <w:p w:rsidR="00362AD9" w:rsidRDefault="00CE0F57" w:rsidP="00CE0F57">
      <w:pPr>
        <w:spacing w:after="0" w:line="240" w:lineRule="auto"/>
        <w:jc w:val="center"/>
        <w:rPr>
          <w:rFonts w:eastAsiaTheme="majorEastAsia" w:cstheme="majorBidi"/>
          <w:color w:val="000000" w:themeColor="text1"/>
          <w:sz w:val="20"/>
          <w:szCs w:val="36"/>
        </w:rPr>
      </w:pPr>
      <w:r w:rsidRPr="00450500">
        <w:rPr>
          <w:rFonts w:eastAsiaTheme="majorEastAsia" w:cstheme="majorBidi"/>
          <w:color w:val="000000" w:themeColor="text1"/>
          <w:sz w:val="20"/>
          <w:szCs w:val="36"/>
        </w:rPr>
        <w:t>Fuente: Datos Monitor Ciudadano (2016-2018)</w:t>
      </w:r>
    </w:p>
    <w:p w:rsidR="00CE0F57" w:rsidRDefault="00CE0F57" w:rsidP="00CE0F57">
      <w:pPr>
        <w:spacing w:after="0" w:line="240" w:lineRule="auto"/>
        <w:jc w:val="center"/>
        <w:rPr>
          <w:b/>
          <w:sz w:val="24"/>
          <w:szCs w:val="24"/>
        </w:rPr>
      </w:pPr>
    </w:p>
    <w:p w:rsidR="00362AD9" w:rsidRDefault="00362AD9" w:rsidP="00362AD9">
      <w:pPr>
        <w:spacing w:after="0" w:line="240" w:lineRule="auto"/>
        <w:jc w:val="both"/>
      </w:pPr>
      <w:bookmarkStart w:id="13" w:name="_Toc519496650"/>
      <w:r>
        <w:rPr>
          <w:sz w:val="24"/>
          <w:szCs w:val="24"/>
        </w:rPr>
        <w:t xml:space="preserve">El mapa expuesto a continuación permite ver que en estos departamentos donde se concentran más hechos de corrupción es donde se ubica más del 30% de la población colombiana, son departamentos prioritarios en su aporte al PIB y cuentan con una mayor capacidad gerencial y competencias en el manejo presupuestal de recursos públicos a diferencia de otros departamentos. </w:t>
      </w:r>
      <w:r w:rsidR="00DD305F" w:rsidRPr="00DD305F">
        <w:rPr>
          <w:sz w:val="24"/>
          <w:szCs w:val="24"/>
        </w:rPr>
        <w:t xml:space="preserve"> Los resultados muestran un mayor reporte de hechos de corrupción en la zona centro y norte del país en comparación con otras zonas como la zona oriente y sur de Colombia. Esto puede responder a factores como poca existencia de medios de comunicación en estos últimos territorios, así como diferencias en las condiciones y capacidad para realizar periodismo de investigación o dar a conocer a la luz pública casos de corrupción.</w:t>
      </w:r>
      <w:r w:rsidR="00DD305F">
        <w:t xml:space="preserve">  </w:t>
      </w:r>
    </w:p>
    <w:p w:rsidR="005F2EEE" w:rsidRDefault="005F2EEE" w:rsidP="00362AD9">
      <w:pPr>
        <w:spacing w:after="0" w:line="240" w:lineRule="auto"/>
        <w:jc w:val="both"/>
      </w:pPr>
    </w:p>
    <w:p w:rsidR="005F2EEE" w:rsidRDefault="005F2EEE" w:rsidP="00362AD9">
      <w:pPr>
        <w:spacing w:after="0" w:line="240" w:lineRule="auto"/>
        <w:jc w:val="both"/>
      </w:pPr>
    </w:p>
    <w:p w:rsidR="005F2EEE" w:rsidRDefault="005F2EEE" w:rsidP="00362AD9">
      <w:pPr>
        <w:spacing w:after="0" w:line="240" w:lineRule="auto"/>
        <w:jc w:val="both"/>
      </w:pPr>
    </w:p>
    <w:p w:rsidR="005F2EEE" w:rsidRDefault="005F2EEE" w:rsidP="00362AD9">
      <w:pPr>
        <w:spacing w:after="0" w:line="240" w:lineRule="auto"/>
        <w:jc w:val="both"/>
      </w:pPr>
    </w:p>
    <w:p w:rsidR="005F2EEE" w:rsidRDefault="005F2EEE" w:rsidP="00362AD9">
      <w:pPr>
        <w:spacing w:after="0" w:line="240" w:lineRule="auto"/>
        <w:jc w:val="both"/>
      </w:pPr>
    </w:p>
    <w:p w:rsidR="005F2EEE" w:rsidRDefault="005F2EEE" w:rsidP="00362AD9">
      <w:pPr>
        <w:spacing w:after="0" w:line="240" w:lineRule="auto"/>
        <w:jc w:val="both"/>
      </w:pPr>
    </w:p>
    <w:p w:rsidR="005F2EEE" w:rsidRDefault="005F2EEE" w:rsidP="00362AD9">
      <w:pPr>
        <w:spacing w:after="0" w:line="240" w:lineRule="auto"/>
        <w:jc w:val="both"/>
      </w:pPr>
    </w:p>
    <w:p w:rsidR="005F2EEE" w:rsidRDefault="005F2EEE" w:rsidP="00362AD9">
      <w:pPr>
        <w:spacing w:after="0" w:line="240" w:lineRule="auto"/>
        <w:jc w:val="both"/>
      </w:pPr>
    </w:p>
    <w:p w:rsidR="00443831" w:rsidRDefault="00443831" w:rsidP="00362AD9">
      <w:pPr>
        <w:spacing w:after="0" w:line="240" w:lineRule="auto"/>
        <w:jc w:val="both"/>
      </w:pPr>
    </w:p>
    <w:p w:rsidR="00443831" w:rsidRPr="009B694F" w:rsidRDefault="00443831" w:rsidP="00443831">
      <w:pPr>
        <w:spacing w:after="0" w:line="240" w:lineRule="auto"/>
      </w:pPr>
      <w:r w:rsidRPr="00273CB4">
        <w:rPr>
          <w:b/>
          <w:sz w:val="24"/>
          <w:szCs w:val="24"/>
        </w:rPr>
        <w:lastRenderedPageBreak/>
        <w:t>Mapa 1: Hechos de corrupción ocurridos, reportados y sancionados en Colombia (Enero 2016-Julio 2018)</w:t>
      </w:r>
      <w:r>
        <w:rPr>
          <w:b/>
          <w:sz w:val="24"/>
          <w:szCs w:val="24"/>
        </w:rPr>
        <w:t xml:space="preserve"> según reporte en prensa </w:t>
      </w:r>
    </w:p>
    <w:p w:rsidR="00443831" w:rsidRDefault="00443831" w:rsidP="00362AD9">
      <w:pPr>
        <w:spacing w:after="0" w:line="240" w:lineRule="auto"/>
        <w:jc w:val="both"/>
        <w:rPr>
          <w:sz w:val="24"/>
          <w:szCs w:val="24"/>
        </w:rPr>
      </w:pPr>
    </w:p>
    <w:p w:rsidR="00362AD9" w:rsidRDefault="00E8725A" w:rsidP="004B6C41">
      <w:pPr>
        <w:spacing w:after="0" w:line="240" w:lineRule="auto"/>
        <w:jc w:val="center"/>
        <w:rPr>
          <w:sz w:val="24"/>
          <w:szCs w:val="24"/>
        </w:rPr>
      </w:pPr>
      <w:commentRangeStart w:id="14"/>
      <w:r>
        <w:rPr>
          <w:noProof/>
          <w:sz w:val="24"/>
          <w:szCs w:val="24"/>
          <w:lang w:eastAsia="es-CO"/>
        </w:rPr>
        <w:drawing>
          <wp:inline distT="0" distB="0" distL="0" distR="0">
            <wp:extent cx="4828995" cy="3829648"/>
            <wp:effectExtent l="19050" t="0" r="0" b="0"/>
            <wp:docPr id="11" name="10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2" cstate="print"/>
                    <a:stretch>
                      <a:fillRect/>
                    </a:stretch>
                  </pic:blipFill>
                  <pic:spPr>
                    <a:xfrm>
                      <a:off x="0" y="0"/>
                      <a:ext cx="4833565" cy="3833272"/>
                    </a:xfrm>
                    <a:prstGeom prst="rect">
                      <a:avLst/>
                    </a:prstGeom>
                  </pic:spPr>
                </pic:pic>
              </a:graphicData>
            </a:graphic>
          </wp:inline>
        </w:drawing>
      </w:r>
      <w:commentRangeEnd w:id="14"/>
      <w:r w:rsidR="001020B4">
        <w:rPr>
          <w:rStyle w:val="Refdecomentario"/>
          <w:rFonts w:ascii="Calibri" w:eastAsia="Calibri" w:hAnsi="Calibri" w:cs="Times New Roman"/>
        </w:rPr>
        <w:commentReference w:id="14"/>
      </w:r>
    </w:p>
    <w:p w:rsidR="00811C5F" w:rsidRPr="0086427F" w:rsidRDefault="001020B4" w:rsidP="0086427F">
      <w:pPr>
        <w:spacing w:after="200" w:line="276" w:lineRule="auto"/>
        <w:jc w:val="center"/>
        <w:rPr>
          <w:rFonts w:asciiTheme="majorHAnsi" w:eastAsiaTheme="majorEastAsia" w:hAnsiTheme="majorHAnsi" w:cstheme="majorBidi"/>
          <w:b/>
          <w:color w:val="000000" w:themeColor="text1"/>
          <w:sz w:val="20"/>
          <w:szCs w:val="36"/>
        </w:rPr>
      </w:pPr>
      <w:r w:rsidRPr="00450500">
        <w:rPr>
          <w:rFonts w:eastAsiaTheme="majorEastAsia" w:cstheme="majorBidi"/>
          <w:color w:val="000000" w:themeColor="text1"/>
          <w:sz w:val="20"/>
          <w:szCs w:val="36"/>
        </w:rPr>
        <w:t>Fuente: Datos Monitor Ciudadano (2016-2018)</w:t>
      </w:r>
    </w:p>
    <w:p w:rsidR="00273CB4" w:rsidRDefault="00674D07" w:rsidP="0086427F">
      <w:pPr>
        <w:spacing w:after="200" w:line="276" w:lineRule="auto"/>
        <w:rPr>
          <w:rFonts w:asciiTheme="majorHAnsi" w:eastAsiaTheme="majorEastAsia" w:hAnsiTheme="majorHAnsi" w:cstheme="majorBidi"/>
          <w:b/>
          <w:color w:val="000000" w:themeColor="text1"/>
          <w:sz w:val="28"/>
          <w:szCs w:val="36"/>
        </w:rPr>
      </w:pPr>
      <w:r>
        <w:rPr>
          <w:rFonts w:asciiTheme="majorHAnsi" w:eastAsiaTheme="majorEastAsia" w:hAnsiTheme="majorHAnsi" w:cstheme="majorBidi"/>
          <w:b/>
          <w:color w:val="000000" w:themeColor="text1"/>
          <w:sz w:val="28"/>
          <w:szCs w:val="36"/>
        </w:rPr>
        <w:t>3.</w:t>
      </w:r>
      <w:r w:rsidR="00A32FCE">
        <w:rPr>
          <w:rFonts w:asciiTheme="majorHAnsi" w:eastAsiaTheme="majorEastAsia" w:hAnsiTheme="majorHAnsi" w:cstheme="majorBidi"/>
          <w:b/>
          <w:color w:val="000000" w:themeColor="text1"/>
          <w:sz w:val="28"/>
          <w:szCs w:val="36"/>
        </w:rPr>
        <w:t xml:space="preserve"> </w:t>
      </w:r>
      <w:r>
        <w:rPr>
          <w:rFonts w:asciiTheme="majorHAnsi" w:eastAsiaTheme="majorEastAsia" w:hAnsiTheme="majorHAnsi" w:cstheme="majorBidi"/>
          <w:b/>
          <w:color w:val="000000" w:themeColor="text1"/>
          <w:sz w:val="28"/>
          <w:szCs w:val="36"/>
        </w:rPr>
        <w:t>¿Cuáles son los ámbitos de la vida pública más afectados?</w:t>
      </w:r>
      <w:bookmarkEnd w:id="13"/>
      <w:commentRangeStart w:id="15"/>
      <w:r w:rsidR="00136997">
        <w:rPr>
          <w:rStyle w:val="Refdenotaalpie"/>
          <w:rFonts w:asciiTheme="majorHAnsi" w:eastAsiaTheme="majorEastAsia" w:hAnsiTheme="majorHAnsi" w:cstheme="majorBidi"/>
          <w:b/>
          <w:color w:val="000000" w:themeColor="text1"/>
          <w:sz w:val="28"/>
          <w:szCs w:val="36"/>
        </w:rPr>
        <w:footnoteReference w:id="12"/>
      </w:r>
      <w:commentRangeEnd w:id="15"/>
      <w:r>
        <w:rPr>
          <w:rStyle w:val="Refdecomentario"/>
          <w:rFonts w:ascii="Calibri" w:eastAsia="Calibri" w:hAnsi="Calibri" w:cs="Times New Roman"/>
        </w:rPr>
        <w:commentReference w:id="15"/>
      </w:r>
    </w:p>
    <w:p w:rsidR="00514646" w:rsidRPr="000274BE" w:rsidRDefault="006E76A5" w:rsidP="00450500">
      <w:pPr>
        <w:spacing w:line="240" w:lineRule="auto"/>
        <w:jc w:val="both"/>
        <w:rPr>
          <w:b/>
          <w:i/>
          <w:sz w:val="24"/>
          <w:szCs w:val="24"/>
        </w:rPr>
      </w:pPr>
      <w:r w:rsidRPr="000274BE">
        <w:rPr>
          <w:b/>
          <w:i/>
          <w:sz w:val="24"/>
          <w:szCs w:val="24"/>
        </w:rPr>
        <w:t xml:space="preserve">El 73% del total de los hechos analizados respondieron a casos de corrupción administrativa y el 27% restante correspondieron a hechos de corrupción privada (9%), corrupción judicial (7%), corrupción política (6%), captura del Estado (2%) y otros (2%).La siguiente gráfica ilustra estos porcentajes.   </w:t>
      </w:r>
    </w:p>
    <w:p w:rsidR="00514646" w:rsidRPr="00273CB4" w:rsidRDefault="00514646" w:rsidP="00273CB4">
      <w:pPr>
        <w:pStyle w:val="Sinespaciado"/>
        <w:ind w:left="1020"/>
        <w:jc w:val="both"/>
        <w:rPr>
          <w:rFonts w:asciiTheme="majorHAnsi" w:eastAsiaTheme="majorEastAsia" w:hAnsiTheme="majorHAnsi" w:cstheme="majorBidi"/>
          <w:b/>
          <w:color w:val="000000" w:themeColor="text1"/>
          <w:sz w:val="28"/>
          <w:szCs w:val="36"/>
        </w:rPr>
      </w:pPr>
    </w:p>
    <w:p w:rsidR="00172695" w:rsidRPr="00585F15" w:rsidRDefault="00172695" w:rsidP="00CE0F57">
      <w:pPr>
        <w:pStyle w:val="Epgrafe"/>
        <w:keepNext/>
        <w:rPr>
          <w:bCs w:val="0"/>
          <w:smallCaps w:val="0"/>
          <w:color w:val="auto"/>
          <w:sz w:val="24"/>
          <w:szCs w:val="24"/>
        </w:rPr>
      </w:pPr>
      <w:r>
        <w:rPr>
          <w:bCs w:val="0"/>
          <w:smallCaps w:val="0"/>
          <w:color w:val="auto"/>
          <w:sz w:val="24"/>
          <w:szCs w:val="24"/>
        </w:rPr>
        <w:lastRenderedPageBreak/>
        <w:t xml:space="preserve"> </w:t>
      </w:r>
    </w:p>
    <w:p w:rsidR="00CE0F57" w:rsidRPr="00585F15" w:rsidRDefault="00CE0F57" w:rsidP="00CE0F57">
      <w:pPr>
        <w:pStyle w:val="Epgrafe"/>
        <w:keepNext/>
        <w:jc w:val="center"/>
        <w:rPr>
          <w:bCs w:val="0"/>
          <w:smallCaps w:val="0"/>
          <w:color w:val="auto"/>
          <w:sz w:val="24"/>
          <w:szCs w:val="24"/>
        </w:rPr>
      </w:pPr>
      <w:r>
        <w:rPr>
          <w:bCs w:val="0"/>
          <w:smallCaps w:val="0"/>
          <w:color w:val="auto"/>
          <w:sz w:val="24"/>
          <w:szCs w:val="24"/>
        </w:rPr>
        <w:t xml:space="preserve">Gráfica #3. </w:t>
      </w:r>
      <w:r w:rsidRPr="00E83050">
        <w:rPr>
          <w:bCs w:val="0"/>
          <w:smallCaps w:val="0"/>
          <w:color w:val="auto"/>
          <w:sz w:val="24"/>
          <w:szCs w:val="24"/>
        </w:rPr>
        <w:t xml:space="preserve">Porcentaje de hechos reportados por la </w:t>
      </w:r>
      <w:r>
        <w:rPr>
          <w:bCs w:val="0"/>
          <w:smallCaps w:val="0"/>
          <w:color w:val="auto"/>
          <w:sz w:val="24"/>
          <w:szCs w:val="24"/>
        </w:rPr>
        <w:t>prensa según tipo de corrupción</w:t>
      </w:r>
    </w:p>
    <w:p w:rsidR="00CE0F57" w:rsidRDefault="00CE0F57" w:rsidP="00CE0F57">
      <w:pPr>
        <w:spacing w:line="240" w:lineRule="auto"/>
        <w:jc w:val="center"/>
        <w:rPr>
          <w:rFonts w:ascii="Calibri" w:hAnsi="Calibri" w:cs="Calibri"/>
        </w:rPr>
      </w:pPr>
      <w:r w:rsidRPr="00E83050">
        <w:rPr>
          <w:rFonts w:ascii="Calibri" w:hAnsi="Calibri" w:cs="Calibri"/>
          <w:noProof/>
          <w:lang w:eastAsia="es-CO"/>
        </w:rPr>
        <w:drawing>
          <wp:inline distT="0" distB="0" distL="0" distR="0">
            <wp:extent cx="5665757" cy="2613804"/>
            <wp:effectExtent l="19050" t="0" r="11143" b="0"/>
            <wp:docPr id="7"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E0F57" w:rsidRPr="00450500" w:rsidRDefault="00CE0F57" w:rsidP="00CE0F57">
      <w:pPr>
        <w:spacing w:line="240" w:lineRule="auto"/>
        <w:jc w:val="center"/>
        <w:rPr>
          <w:szCs w:val="24"/>
        </w:rPr>
      </w:pPr>
      <w:r w:rsidRPr="00450500">
        <w:rPr>
          <w:rFonts w:ascii="Calibri" w:hAnsi="Calibri" w:cs="Calibri"/>
          <w:sz w:val="20"/>
        </w:rPr>
        <w:t>Fuente: Informe Monitor Ciudadano (2016-2018)</w:t>
      </w:r>
    </w:p>
    <w:p w:rsidR="00443831" w:rsidRDefault="00392A26" w:rsidP="00392A26">
      <w:pPr>
        <w:spacing w:line="240" w:lineRule="auto"/>
        <w:jc w:val="both"/>
        <w:rPr>
          <w:sz w:val="24"/>
        </w:rPr>
      </w:pPr>
      <w:r>
        <w:rPr>
          <w:sz w:val="24"/>
        </w:rPr>
        <w:t>E</w:t>
      </w:r>
      <w:r w:rsidRPr="00392A26">
        <w:rPr>
          <w:sz w:val="24"/>
        </w:rPr>
        <w:t xml:space="preserve">s importante destacar </w:t>
      </w:r>
      <w:r w:rsidR="00136997">
        <w:rPr>
          <w:sz w:val="24"/>
        </w:rPr>
        <w:t xml:space="preserve">que </w:t>
      </w:r>
      <w:r w:rsidR="00AD43E7">
        <w:rPr>
          <w:sz w:val="24"/>
        </w:rPr>
        <w:t>si bien hay un alto reporte de hechos de corrupción administrativa</w:t>
      </w:r>
      <w:r w:rsidR="00C122FA">
        <w:rPr>
          <w:sz w:val="24"/>
        </w:rPr>
        <w:t>,</w:t>
      </w:r>
      <w:r w:rsidR="00944B73">
        <w:rPr>
          <w:sz w:val="24"/>
        </w:rPr>
        <w:t xml:space="preserve"> se debe</w:t>
      </w:r>
      <w:r w:rsidR="00C122FA">
        <w:rPr>
          <w:sz w:val="24"/>
        </w:rPr>
        <w:t xml:space="preserve"> alertar sobre la complejidad de los mismos. En muchos casos i</w:t>
      </w:r>
      <w:r w:rsidR="00AD43E7" w:rsidRPr="00AD43E7">
        <w:rPr>
          <w:sz w:val="24"/>
        </w:rPr>
        <w:t>ntervienen autoridades públicas, servidores públicos, proveedores del Estado, contratistas, gremios y ciudadanos del común</w:t>
      </w:r>
      <w:r w:rsidR="00C122FA">
        <w:rPr>
          <w:sz w:val="24"/>
        </w:rPr>
        <w:t>, es decir un entramado complejo de actores</w:t>
      </w:r>
      <w:r w:rsidR="00AD43E7" w:rsidRPr="00AD43E7">
        <w:rPr>
          <w:sz w:val="24"/>
        </w:rPr>
        <w:t xml:space="preserve"> interesados en alterar procesos administrativos</w:t>
      </w:r>
      <w:r w:rsidR="00AD43E7">
        <w:rPr>
          <w:sz w:val="24"/>
        </w:rPr>
        <w:t>, a</w:t>
      </w:r>
      <w:r w:rsidR="00AD43E7" w:rsidRPr="00AD43E7">
        <w:rPr>
          <w:sz w:val="24"/>
        </w:rPr>
        <w:t>propiarse de recursos públicos</w:t>
      </w:r>
      <w:r w:rsidR="00AD43E7">
        <w:rPr>
          <w:sz w:val="24"/>
        </w:rPr>
        <w:t xml:space="preserve"> y f</w:t>
      </w:r>
      <w:r w:rsidR="00AD43E7" w:rsidRPr="00AD43E7">
        <w:rPr>
          <w:sz w:val="24"/>
        </w:rPr>
        <w:t>avorecer a particulares a través de decisiones públicas</w:t>
      </w:r>
      <w:r w:rsidR="00AD43E7">
        <w:rPr>
          <w:sz w:val="24"/>
        </w:rPr>
        <w:t xml:space="preserve">. </w:t>
      </w:r>
    </w:p>
    <w:p w:rsidR="00F23FAB" w:rsidRDefault="00136997" w:rsidP="00392A26">
      <w:pPr>
        <w:spacing w:line="240" w:lineRule="auto"/>
        <w:jc w:val="both"/>
        <w:rPr>
          <w:sz w:val="24"/>
        </w:rPr>
      </w:pPr>
      <w:r w:rsidRPr="00136997">
        <w:rPr>
          <w:sz w:val="24"/>
        </w:rPr>
        <w:t xml:space="preserve">También </w:t>
      </w:r>
      <w:r w:rsidR="00AD43E7">
        <w:rPr>
          <w:sz w:val="24"/>
        </w:rPr>
        <w:t xml:space="preserve">aparecen casos de corrupción </w:t>
      </w:r>
      <w:r w:rsidR="00443831">
        <w:rPr>
          <w:sz w:val="24"/>
        </w:rPr>
        <w:t>privada que</w:t>
      </w:r>
      <w:r w:rsidR="00AD43E7">
        <w:rPr>
          <w:sz w:val="24"/>
        </w:rPr>
        <w:t xml:space="preserve"> involucran a </w:t>
      </w:r>
      <w:r w:rsidRPr="00136997">
        <w:rPr>
          <w:sz w:val="24"/>
        </w:rPr>
        <w:t xml:space="preserve">grandes grupos económicos, </w:t>
      </w:r>
      <w:r w:rsidR="00AD43E7" w:rsidRPr="00136997">
        <w:rPr>
          <w:sz w:val="24"/>
        </w:rPr>
        <w:t>así como</w:t>
      </w:r>
      <w:r w:rsidRPr="00136997">
        <w:rPr>
          <w:sz w:val="24"/>
        </w:rPr>
        <w:t xml:space="preserve"> </w:t>
      </w:r>
      <w:r w:rsidR="00AD43E7">
        <w:rPr>
          <w:sz w:val="24"/>
        </w:rPr>
        <w:t xml:space="preserve">hechos de alcance nacional que involucran a altos dignatarios y </w:t>
      </w:r>
      <w:r w:rsidRPr="00136997">
        <w:rPr>
          <w:sz w:val="24"/>
        </w:rPr>
        <w:t>funcionarios de alto nivel d</w:t>
      </w:r>
      <w:r w:rsidR="00AD43E7">
        <w:rPr>
          <w:sz w:val="24"/>
        </w:rPr>
        <w:t>el gobierno. Estos casos se profundizarán también en est</w:t>
      </w:r>
      <w:r w:rsidR="00A328CF">
        <w:rPr>
          <w:sz w:val="24"/>
        </w:rPr>
        <w:t xml:space="preserve">e informe en lo que se ha denominado como “Casos emblemáticos de corrupción” </w:t>
      </w:r>
      <w:r w:rsidR="00AD43E7">
        <w:rPr>
          <w:sz w:val="24"/>
        </w:rPr>
        <w:t xml:space="preserve"> </w:t>
      </w:r>
    </w:p>
    <w:p w:rsidR="00183361" w:rsidRDefault="00AD43E7" w:rsidP="00FC5B84">
      <w:pPr>
        <w:spacing w:line="240" w:lineRule="auto"/>
        <w:jc w:val="both"/>
        <w:rPr>
          <w:b/>
          <w:sz w:val="24"/>
          <w:szCs w:val="24"/>
        </w:rPr>
      </w:pPr>
      <w:r>
        <w:rPr>
          <w:sz w:val="24"/>
          <w:szCs w:val="24"/>
        </w:rPr>
        <w:t>Al realizar el cruce entre el tipo de corrupción y los hechos</w:t>
      </w:r>
      <w:r w:rsidR="00A328CF">
        <w:rPr>
          <w:sz w:val="24"/>
          <w:szCs w:val="24"/>
        </w:rPr>
        <w:t xml:space="preserve"> ocurridos </w:t>
      </w:r>
      <w:r>
        <w:rPr>
          <w:sz w:val="24"/>
          <w:szCs w:val="24"/>
        </w:rPr>
        <w:t xml:space="preserve">por departamentos se evidencia que el 38% de los hechos de corrupción administrativa se encontraron en los departamentos de </w:t>
      </w:r>
      <w:r w:rsidRPr="00A328CF">
        <w:rPr>
          <w:b/>
          <w:sz w:val="24"/>
          <w:szCs w:val="24"/>
        </w:rPr>
        <w:t xml:space="preserve">Santander (17%), Atlántico (8%), Bolívar (7%)  y Valle del Cauca (7%).  </w:t>
      </w:r>
    </w:p>
    <w:p w:rsidR="00811C5F" w:rsidRDefault="00A328CF" w:rsidP="00FC5B84">
      <w:pPr>
        <w:spacing w:line="240" w:lineRule="auto"/>
        <w:jc w:val="both"/>
        <w:rPr>
          <w:b/>
          <w:sz w:val="28"/>
          <w:szCs w:val="24"/>
        </w:rPr>
      </w:pPr>
      <w:r w:rsidRPr="00A328CF">
        <w:rPr>
          <w:sz w:val="24"/>
          <w:szCs w:val="24"/>
        </w:rPr>
        <w:t>Por último, en cuanto a</w:t>
      </w:r>
      <w:r w:rsidR="00443831">
        <w:rPr>
          <w:sz w:val="24"/>
          <w:szCs w:val="24"/>
        </w:rPr>
        <w:t xml:space="preserve"> los ámbitos afectados por la corrupción se evidencia que de los casos asociados a </w:t>
      </w:r>
      <w:r w:rsidRPr="00A328CF">
        <w:rPr>
          <w:sz w:val="24"/>
          <w:szCs w:val="24"/>
        </w:rPr>
        <w:t>corrupción administrativa</w:t>
      </w:r>
      <w:r w:rsidR="00443831">
        <w:rPr>
          <w:sz w:val="24"/>
          <w:szCs w:val="24"/>
        </w:rPr>
        <w:t xml:space="preserve">, son </w:t>
      </w:r>
      <w:r w:rsidRPr="00A328CF">
        <w:rPr>
          <w:sz w:val="24"/>
          <w:szCs w:val="24"/>
        </w:rPr>
        <w:t>la contratación pública</w:t>
      </w:r>
      <w:r>
        <w:rPr>
          <w:sz w:val="24"/>
          <w:szCs w:val="24"/>
        </w:rPr>
        <w:t xml:space="preserve"> (46%</w:t>
      </w:r>
      <w:r w:rsidR="00A32FCE">
        <w:rPr>
          <w:sz w:val="24"/>
          <w:szCs w:val="24"/>
        </w:rPr>
        <w:t>),</w:t>
      </w:r>
      <w:r w:rsidRPr="00A328CF">
        <w:rPr>
          <w:sz w:val="24"/>
          <w:szCs w:val="24"/>
        </w:rPr>
        <w:t xml:space="preserve"> la provisión de bienes y servicios </w:t>
      </w:r>
      <w:r>
        <w:rPr>
          <w:sz w:val="24"/>
          <w:szCs w:val="24"/>
        </w:rPr>
        <w:t>(19%)</w:t>
      </w:r>
      <w:r w:rsidRPr="00A328CF">
        <w:rPr>
          <w:sz w:val="24"/>
          <w:szCs w:val="24"/>
        </w:rPr>
        <w:t>el manejo de presupuesto y gasto público</w:t>
      </w:r>
      <w:r>
        <w:rPr>
          <w:sz w:val="24"/>
          <w:szCs w:val="24"/>
        </w:rPr>
        <w:t xml:space="preserve"> (13%)</w:t>
      </w:r>
      <w:r w:rsidRPr="00A328CF">
        <w:rPr>
          <w:sz w:val="24"/>
          <w:szCs w:val="24"/>
        </w:rPr>
        <w:t xml:space="preserve"> en donde más se identifica</w:t>
      </w:r>
      <w:r w:rsidR="00A32FCE">
        <w:rPr>
          <w:sz w:val="24"/>
          <w:szCs w:val="24"/>
        </w:rPr>
        <w:t>ro</w:t>
      </w:r>
      <w:r w:rsidRPr="00A328CF">
        <w:rPr>
          <w:sz w:val="24"/>
          <w:szCs w:val="24"/>
        </w:rPr>
        <w:t>n irregularidades</w:t>
      </w:r>
      <w:r w:rsidR="00A32FCE">
        <w:rPr>
          <w:sz w:val="24"/>
          <w:szCs w:val="24"/>
        </w:rPr>
        <w:t xml:space="preserve">. </w:t>
      </w:r>
      <w:r w:rsidR="00443831">
        <w:rPr>
          <w:sz w:val="24"/>
          <w:szCs w:val="24"/>
        </w:rPr>
        <w:t xml:space="preserve">El </w:t>
      </w:r>
      <w:r w:rsidR="00E476B1">
        <w:rPr>
          <w:sz w:val="24"/>
          <w:szCs w:val="24"/>
        </w:rPr>
        <w:t xml:space="preserve">21% restante corresponde a irregularidades relacionadas con empleo público (6%), trámites y servicio al ciudadano (5%) , funciones de planeación (3%) y otros procesos administrativos (7%) </w:t>
      </w:r>
      <w:r w:rsidR="00A32FCE">
        <w:rPr>
          <w:sz w:val="24"/>
          <w:szCs w:val="24"/>
        </w:rPr>
        <w:t xml:space="preserve">A continuación se presentan datos de las irregularidades más comunes asociadas al </w:t>
      </w:r>
      <w:r w:rsidR="00E476B1">
        <w:rPr>
          <w:sz w:val="24"/>
          <w:szCs w:val="24"/>
        </w:rPr>
        <w:t xml:space="preserve">tipo de corrupción administrativa, privada y política en </w:t>
      </w:r>
      <w:r w:rsidR="00A32FCE">
        <w:rPr>
          <w:sz w:val="24"/>
          <w:szCs w:val="24"/>
        </w:rPr>
        <w:t>tema</w:t>
      </w:r>
      <w:r w:rsidR="00E476B1">
        <w:rPr>
          <w:sz w:val="24"/>
          <w:szCs w:val="24"/>
        </w:rPr>
        <w:t>s</w:t>
      </w:r>
      <w:r w:rsidR="00A32FCE">
        <w:rPr>
          <w:sz w:val="24"/>
          <w:szCs w:val="24"/>
        </w:rPr>
        <w:t xml:space="preserve"> de contratación pública </w:t>
      </w:r>
      <w:r w:rsidR="00E476B1">
        <w:rPr>
          <w:sz w:val="24"/>
          <w:szCs w:val="24"/>
        </w:rPr>
        <w:t xml:space="preserve">así como </w:t>
      </w:r>
      <w:r w:rsidR="00A32FCE">
        <w:rPr>
          <w:sz w:val="24"/>
          <w:szCs w:val="24"/>
        </w:rPr>
        <w:t xml:space="preserve">casos de ejemplo que ilustran </w:t>
      </w:r>
      <w:r w:rsidR="00E476B1">
        <w:rPr>
          <w:sz w:val="24"/>
          <w:szCs w:val="24"/>
        </w:rPr>
        <w:t xml:space="preserve">dichas irregularidades </w:t>
      </w:r>
    </w:p>
    <w:p w:rsidR="005F6D4D" w:rsidRPr="00AE6576" w:rsidRDefault="005F6D4D" w:rsidP="00FC5B84">
      <w:pPr>
        <w:spacing w:line="240" w:lineRule="auto"/>
        <w:jc w:val="both"/>
        <w:rPr>
          <w:b/>
          <w:sz w:val="28"/>
          <w:szCs w:val="24"/>
        </w:rPr>
      </w:pPr>
      <w:r w:rsidRPr="000C4F6A">
        <w:rPr>
          <w:b/>
          <w:sz w:val="28"/>
          <w:szCs w:val="24"/>
        </w:rPr>
        <w:lastRenderedPageBreak/>
        <w:t xml:space="preserve">3.1 </w:t>
      </w:r>
      <w:r w:rsidR="00EA05F0" w:rsidRPr="000C4F6A">
        <w:rPr>
          <w:b/>
          <w:sz w:val="28"/>
          <w:szCs w:val="24"/>
        </w:rPr>
        <w:t xml:space="preserve">En la Corrupción Administrativa la mitad del </w:t>
      </w:r>
      <w:r w:rsidR="00CC5164" w:rsidRPr="000C4F6A">
        <w:rPr>
          <w:b/>
          <w:sz w:val="28"/>
          <w:szCs w:val="24"/>
        </w:rPr>
        <w:t xml:space="preserve">botín de </w:t>
      </w:r>
      <w:r w:rsidR="00EE0ED4" w:rsidRPr="000C4F6A">
        <w:rPr>
          <w:b/>
          <w:sz w:val="28"/>
          <w:szCs w:val="24"/>
        </w:rPr>
        <w:t>oro</w:t>
      </w:r>
      <w:r w:rsidR="00EA05F0" w:rsidRPr="000C4F6A">
        <w:rPr>
          <w:b/>
          <w:sz w:val="28"/>
          <w:szCs w:val="24"/>
        </w:rPr>
        <w:t xml:space="preserve"> es la </w:t>
      </w:r>
      <w:r w:rsidRPr="000C4F6A">
        <w:rPr>
          <w:b/>
          <w:sz w:val="28"/>
          <w:szCs w:val="24"/>
        </w:rPr>
        <w:t>contratación pública</w:t>
      </w:r>
      <w:r w:rsidRPr="00AE6576">
        <w:rPr>
          <w:b/>
          <w:sz w:val="28"/>
          <w:szCs w:val="24"/>
        </w:rPr>
        <w:t xml:space="preserve"> </w:t>
      </w:r>
    </w:p>
    <w:p w:rsidR="007A4722" w:rsidRDefault="00A32FCE" w:rsidP="00FC5B84">
      <w:pPr>
        <w:spacing w:line="240" w:lineRule="auto"/>
        <w:jc w:val="both"/>
        <w:rPr>
          <w:sz w:val="24"/>
          <w:szCs w:val="24"/>
        </w:rPr>
      </w:pPr>
      <w:r>
        <w:rPr>
          <w:sz w:val="24"/>
          <w:szCs w:val="24"/>
        </w:rPr>
        <w:t xml:space="preserve">Del total de hechos </w:t>
      </w:r>
      <w:r w:rsidR="00A7442E">
        <w:rPr>
          <w:sz w:val="24"/>
          <w:szCs w:val="24"/>
        </w:rPr>
        <w:t xml:space="preserve">de corrupción administrativa </w:t>
      </w:r>
      <w:r>
        <w:rPr>
          <w:sz w:val="24"/>
          <w:szCs w:val="24"/>
        </w:rPr>
        <w:t xml:space="preserve">recopilados por el Monitor Ciudadano, </w:t>
      </w:r>
      <w:r w:rsidR="000C4F6A">
        <w:rPr>
          <w:sz w:val="24"/>
          <w:szCs w:val="24"/>
        </w:rPr>
        <w:t>e</w:t>
      </w:r>
      <w:r w:rsidR="007A4722">
        <w:rPr>
          <w:sz w:val="24"/>
          <w:szCs w:val="24"/>
        </w:rPr>
        <w:t xml:space="preserve">l </w:t>
      </w:r>
      <w:r w:rsidR="00A7442E">
        <w:rPr>
          <w:sz w:val="24"/>
          <w:szCs w:val="24"/>
        </w:rPr>
        <w:t>46</w:t>
      </w:r>
      <w:r w:rsidR="007A4722">
        <w:rPr>
          <w:sz w:val="24"/>
          <w:szCs w:val="24"/>
        </w:rPr>
        <w:t xml:space="preserve">% </w:t>
      </w:r>
      <w:r w:rsidR="00514646">
        <w:rPr>
          <w:sz w:val="24"/>
          <w:szCs w:val="24"/>
        </w:rPr>
        <w:t>están</w:t>
      </w:r>
      <w:r w:rsidR="007A4722">
        <w:rPr>
          <w:sz w:val="24"/>
          <w:szCs w:val="24"/>
        </w:rPr>
        <w:t xml:space="preserve"> asocia</w:t>
      </w:r>
      <w:r w:rsidR="004D2F27">
        <w:rPr>
          <w:sz w:val="24"/>
          <w:szCs w:val="24"/>
        </w:rPr>
        <w:t>dos</w:t>
      </w:r>
      <w:r w:rsidR="007A4722">
        <w:rPr>
          <w:sz w:val="24"/>
          <w:szCs w:val="24"/>
        </w:rPr>
        <w:t xml:space="preserve"> a </w:t>
      </w:r>
      <w:r w:rsidR="004D2F27">
        <w:rPr>
          <w:sz w:val="24"/>
          <w:szCs w:val="24"/>
        </w:rPr>
        <w:t xml:space="preserve">abusos en el manejo de los procesos de </w:t>
      </w:r>
      <w:r w:rsidR="007A4722">
        <w:rPr>
          <w:sz w:val="24"/>
          <w:szCs w:val="24"/>
        </w:rPr>
        <w:t xml:space="preserve">contratación pública. </w:t>
      </w:r>
    </w:p>
    <w:p w:rsidR="00044E57" w:rsidRPr="00044E57" w:rsidRDefault="00342DED" w:rsidP="00254EA1">
      <w:pPr>
        <w:spacing w:line="240" w:lineRule="auto"/>
        <w:jc w:val="both"/>
        <w:rPr>
          <w:sz w:val="24"/>
          <w:szCs w:val="24"/>
        </w:rPr>
      </w:pPr>
      <w:r>
        <w:rPr>
          <w:sz w:val="24"/>
          <w:szCs w:val="24"/>
        </w:rPr>
        <w:t xml:space="preserve">Ahora bien, </w:t>
      </w:r>
      <w:r w:rsidR="00884335">
        <w:rPr>
          <w:sz w:val="24"/>
          <w:szCs w:val="24"/>
        </w:rPr>
        <w:t xml:space="preserve">en este 46% </w:t>
      </w:r>
      <w:r w:rsidR="009C52C4">
        <w:rPr>
          <w:sz w:val="24"/>
          <w:szCs w:val="24"/>
        </w:rPr>
        <w:t xml:space="preserve">de los hechos </w:t>
      </w:r>
      <w:r w:rsidR="00F4468B">
        <w:rPr>
          <w:sz w:val="24"/>
          <w:szCs w:val="24"/>
        </w:rPr>
        <w:t>se identificaron seis</w:t>
      </w:r>
      <w:r>
        <w:rPr>
          <w:sz w:val="24"/>
          <w:szCs w:val="24"/>
        </w:rPr>
        <w:t xml:space="preserve"> </w:t>
      </w:r>
      <w:r w:rsidR="004D344C">
        <w:rPr>
          <w:sz w:val="24"/>
          <w:szCs w:val="24"/>
        </w:rPr>
        <w:t>irregularidades</w:t>
      </w:r>
      <w:r w:rsidR="009C52C4">
        <w:rPr>
          <w:sz w:val="24"/>
          <w:szCs w:val="24"/>
        </w:rPr>
        <w:t xml:space="preserve"> </w:t>
      </w:r>
      <w:r>
        <w:rPr>
          <w:sz w:val="24"/>
          <w:szCs w:val="24"/>
        </w:rPr>
        <w:t xml:space="preserve">como las más frecuentes </w:t>
      </w:r>
      <w:r w:rsidR="004D344C">
        <w:rPr>
          <w:sz w:val="24"/>
          <w:szCs w:val="24"/>
        </w:rPr>
        <w:t xml:space="preserve">asociadas al tema de contratación </w:t>
      </w:r>
      <w:r w:rsidR="006E76A5" w:rsidRPr="003906EA">
        <w:rPr>
          <w:sz w:val="24"/>
          <w:szCs w:val="24"/>
        </w:rPr>
        <w:t>pública</w:t>
      </w:r>
      <w:r w:rsidR="009C52C4">
        <w:rPr>
          <w:sz w:val="24"/>
          <w:szCs w:val="24"/>
        </w:rPr>
        <w:t xml:space="preserve">: </w:t>
      </w:r>
      <w:r w:rsidR="009807D9">
        <w:rPr>
          <w:sz w:val="24"/>
          <w:szCs w:val="24"/>
        </w:rPr>
        <w:t xml:space="preserve">1) </w:t>
      </w:r>
      <w:r w:rsidR="009807D9" w:rsidRPr="009C52C4">
        <w:rPr>
          <w:sz w:val="24"/>
          <w:szCs w:val="24"/>
        </w:rPr>
        <w:t>Adjudicación o celebración irregular de contratos</w:t>
      </w:r>
      <w:r w:rsidR="009807D9">
        <w:rPr>
          <w:sz w:val="24"/>
          <w:szCs w:val="24"/>
        </w:rPr>
        <w:t xml:space="preserve"> (29%). 2) </w:t>
      </w:r>
      <w:r w:rsidR="009807D9" w:rsidRPr="00936DF2">
        <w:rPr>
          <w:sz w:val="24"/>
          <w:szCs w:val="24"/>
        </w:rPr>
        <w:t>Violación a los principios de transparencia, idoneidad y responsabilid</w:t>
      </w:r>
      <w:r w:rsidR="009807D9">
        <w:rPr>
          <w:sz w:val="24"/>
          <w:szCs w:val="24"/>
        </w:rPr>
        <w:t xml:space="preserve">ad en la contratación estatal (17%). 3) </w:t>
      </w:r>
      <w:r w:rsidR="009807D9" w:rsidRPr="00342DED">
        <w:rPr>
          <w:sz w:val="24"/>
          <w:szCs w:val="24"/>
        </w:rPr>
        <w:t>Abuso de la</w:t>
      </w:r>
      <w:r w:rsidR="009807D9">
        <w:rPr>
          <w:sz w:val="24"/>
          <w:szCs w:val="24"/>
        </w:rPr>
        <w:t xml:space="preserve"> figura de contratación directa (8%). 4) </w:t>
      </w:r>
      <w:r w:rsidR="009807D9" w:rsidRPr="00342DED">
        <w:rPr>
          <w:sz w:val="24"/>
          <w:szCs w:val="24"/>
        </w:rPr>
        <w:t>Detrimento patrimonial por incum</w:t>
      </w:r>
      <w:r w:rsidR="009807D9">
        <w:rPr>
          <w:sz w:val="24"/>
          <w:szCs w:val="24"/>
        </w:rPr>
        <w:t xml:space="preserve">plimiento del objeto contratado. </w:t>
      </w:r>
      <w:r w:rsidR="00F4468B">
        <w:rPr>
          <w:sz w:val="24"/>
          <w:szCs w:val="24"/>
        </w:rPr>
        <w:t xml:space="preserve">(8%) </w:t>
      </w:r>
      <w:r w:rsidR="009807D9">
        <w:rPr>
          <w:sz w:val="24"/>
          <w:szCs w:val="24"/>
        </w:rPr>
        <w:t xml:space="preserve">5)  </w:t>
      </w:r>
      <w:r w:rsidR="009807D9" w:rsidRPr="00342DED">
        <w:rPr>
          <w:sz w:val="24"/>
          <w:szCs w:val="24"/>
        </w:rPr>
        <w:t>Apropiación ileg</w:t>
      </w:r>
      <w:r w:rsidR="009807D9">
        <w:rPr>
          <w:sz w:val="24"/>
          <w:szCs w:val="24"/>
        </w:rPr>
        <w:t>al de recursos en los con</w:t>
      </w:r>
      <w:r w:rsidR="00F4468B">
        <w:rPr>
          <w:sz w:val="24"/>
          <w:szCs w:val="24"/>
        </w:rPr>
        <w:t>tratos (6%) y 6</w:t>
      </w:r>
      <w:r w:rsidR="009807D9">
        <w:rPr>
          <w:sz w:val="24"/>
          <w:szCs w:val="24"/>
        </w:rPr>
        <w:t>) S</w:t>
      </w:r>
      <w:r w:rsidR="009807D9" w:rsidRPr="00204ACE">
        <w:rPr>
          <w:sz w:val="24"/>
          <w:szCs w:val="24"/>
        </w:rPr>
        <w:t>obrecostos por irregularidades en celebración de contratos</w:t>
      </w:r>
      <w:r w:rsidR="009807D9">
        <w:rPr>
          <w:sz w:val="24"/>
          <w:szCs w:val="24"/>
        </w:rPr>
        <w:t xml:space="preserve"> (6%). </w:t>
      </w:r>
      <w:r w:rsidR="00044E57" w:rsidRPr="00044E57">
        <w:rPr>
          <w:sz w:val="24"/>
          <w:szCs w:val="24"/>
        </w:rPr>
        <w:t xml:space="preserve">A continuación se detallan unos casos </w:t>
      </w:r>
      <w:r w:rsidR="003B39D6">
        <w:rPr>
          <w:sz w:val="24"/>
          <w:szCs w:val="24"/>
        </w:rPr>
        <w:t xml:space="preserve">de </w:t>
      </w:r>
      <w:r w:rsidR="00044E57" w:rsidRPr="00044E57">
        <w:rPr>
          <w:sz w:val="24"/>
          <w:szCs w:val="24"/>
        </w:rPr>
        <w:t xml:space="preserve">ejemplo </w:t>
      </w:r>
      <w:r w:rsidR="003B39D6">
        <w:rPr>
          <w:sz w:val="24"/>
          <w:szCs w:val="24"/>
        </w:rPr>
        <w:t xml:space="preserve">que permiten ver en concreto cómo se dieron </w:t>
      </w:r>
      <w:r w:rsidR="00044E57" w:rsidRPr="00044E57">
        <w:rPr>
          <w:sz w:val="24"/>
          <w:szCs w:val="24"/>
        </w:rPr>
        <w:t>estas irregularidades</w:t>
      </w:r>
      <w:r w:rsidR="003B39D6">
        <w:rPr>
          <w:sz w:val="24"/>
          <w:szCs w:val="24"/>
        </w:rPr>
        <w:t xml:space="preserve"> en los hechos de corrupción: </w:t>
      </w:r>
    </w:p>
    <w:p w:rsidR="00044E57" w:rsidRDefault="00254EA1" w:rsidP="00254EA1">
      <w:pPr>
        <w:spacing w:line="240" w:lineRule="auto"/>
        <w:jc w:val="both"/>
        <w:rPr>
          <w:sz w:val="24"/>
          <w:szCs w:val="24"/>
        </w:rPr>
      </w:pPr>
      <w:r>
        <w:rPr>
          <w:b/>
          <w:sz w:val="24"/>
          <w:szCs w:val="24"/>
        </w:rPr>
        <w:t xml:space="preserve">Caso </w:t>
      </w:r>
      <w:r w:rsidR="005D3B5B">
        <w:rPr>
          <w:b/>
          <w:sz w:val="24"/>
          <w:szCs w:val="24"/>
        </w:rPr>
        <w:t>de a</w:t>
      </w:r>
      <w:r>
        <w:rPr>
          <w:b/>
          <w:sz w:val="24"/>
          <w:szCs w:val="24"/>
        </w:rPr>
        <w:t>djudicación o celebración irregular de contratos</w:t>
      </w:r>
    </w:p>
    <w:p w:rsidR="00254EA1" w:rsidRDefault="0012582D" w:rsidP="00254EA1">
      <w:pPr>
        <w:spacing w:line="240" w:lineRule="auto"/>
        <w:jc w:val="both"/>
        <w:rPr>
          <w:sz w:val="24"/>
          <w:szCs w:val="24"/>
        </w:rPr>
      </w:pPr>
      <w:r w:rsidRPr="0012582D">
        <w:rPr>
          <w:sz w:val="24"/>
          <w:szCs w:val="24"/>
        </w:rPr>
        <w:t>En 2007 la Secretaría de Movilidad de Bogotá suscribió un contrato de concesión con el Consorcio de Servicios Integrales para la Movilidad (SIM) para la ampliación de una bodega. Posteriormente, durante la dirección de Rafael Rodríguez Zambrano, (2013-2014) se dio una prórroga injustificada al contrato por seis años y para ello se alteró el manual de contratación. Esta prórroga se realizó sin tener en cuenta las advertencias sobre incumplimientos y multas que la Secretaría le había impuesto al contratista y que habían generando sobrecostos por más de 28.000 millones de pesos. En agosto de 2018 la Fiscalía General de la Nación imputó cargos al funcionario por los delitos de celebración indebida de contratos y fue detenido. William Quintero Duque, exsubsecretario de movilidad, también se vio involucrado en este hecho y en 2015 fie condenado a cinco años de cárcel.</w:t>
      </w:r>
      <w:r w:rsidR="00254EA1">
        <w:rPr>
          <w:rStyle w:val="Refdenotaalpie"/>
          <w:sz w:val="24"/>
          <w:szCs w:val="24"/>
        </w:rPr>
        <w:footnoteReference w:id="13"/>
      </w:r>
      <w:r w:rsidR="00254EA1">
        <w:rPr>
          <w:sz w:val="24"/>
          <w:szCs w:val="24"/>
        </w:rPr>
        <w:t xml:space="preserve"> </w:t>
      </w:r>
    </w:p>
    <w:p w:rsidR="005D3B5B" w:rsidRDefault="005D3B5B" w:rsidP="005D3B5B">
      <w:pPr>
        <w:spacing w:line="240" w:lineRule="auto"/>
        <w:jc w:val="both"/>
        <w:rPr>
          <w:sz w:val="24"/>
          <w:szCs w:val="24"/>
        </w:rPr>
      </w:pPr>
      <w:r>
        <w:rPr>
          <w:b/>
          <w:sz w:val="24"/>
          <w:szCs w:val="24"/>
        </w:rPr>
        <w:t>Caso de violación a los principios de transparencia, idoneidad y responsabilidad en la contratación estatal</w:t>
      </w:r>
      <w:r>
        <w:rPr>
          <w:sz w:val="24"/>
          <w:szCs w:val="24"/>
        </w:rPr>
        <w:t xml:space="preserve"> </w:t>
      </w:r>
    </w:p>
    <w:p w:rsidR="0086427F" w:rsidRDefault="00540AA3" w:rsidP="00254EA1">
      <w:pPr>
        <w:spacing w:line="240" w:lineRule="auto"/>
        <w:jc w:val="both"/>
        <w:rPr>
          <w:sz w:val="24"/>
          <w:szCs w:val="24"/>
        </w:rPr>
      </w:pPr>
      <w:r w:rsidRPr="00540AA3">
        <w:rPr>
          <w:sz w:val="24"/>
          <w:szCs w:val="24"/>
        </w:rPr>
        <w:t>En 2016, Darío Ech</w:t>
      </w:r>
      <w:r>
        <w:rPr>
          <w:sz w:val="24"/>
          <w:szCs w:val="24"/>
        </w:rPr>
        <w:t>everry, alcalde Barrancabermeja</w:t>
      </w:r>
      <w:r w:rsidRPr="00540AA3">
        <w:rPr>
          <w:sz w:val="24"/>
          <w:szCs w:val="24"/>
        </w:rPr>
        <w:t xml:space="preserve"> (2016-2019)</w:t>
      </w:r>
      <w:r>
        <w:rPr>
          <w:sz w:val="24"/>
          <w:szCs w:val="24"/>
        </w:rPr>
        <w:t>,</w:t>
      </w:r>
      <w:r w:rsidRPr="00540AA3">
        <w:rPr>
          <w:sz w:val="24"/>
          <w:szCs w:val="24"/>
        </w:rPr>
        <w:t xml:space="preserve"> suscribió un convenio de cooperación para el fortalecimiento de la historia y la identidad cultural de la ciudad con la Fundación para el Desarrollo Social y Científico (Fundesocol). En este convenio se habría vulnerado el principio de transparencia pues desde los estudios previos del convenio ya se sabía a quién se  iba a adjudicar el contrato. Por estas irregularidades, en junio del 2018 le fueron imputados cargos al alcalde, a Yenny Ruiz Días Muñoz (exsecretaria de Desarrollo Social) y al contratista Ezequiel Mattos por los delitos de contrato sin cumplimiento de requisitos legales, interés indebido en la celebración de contratos y peculado por apropiación.</w:t>
      </w:r>
    </w:p>
    <w:p w:rsidR="0086427F" w:rsidRDefault="0086427F" w:rsidP="00254EA1">
      <w:pPr>
        <w:spacing w:line="240" w:lineRule="auto"/>
        <w:jc w:val="both"/>
        <w:rPr>
          <w:sz w:val="24"/>
          <w:szCs w:val="24"/>
        </w:rPr>
      </w:pPr>
    </w:p>
    <w:p w:rsidR="005D3B5B" w:rsidRDefault="005D3B5B" w:rsidP="005D3B5B">
      <w:pPr>
        <w:spacing w:line="240" w:lineRule="auto"/>
        <w:jc w:val="both"/>
        <w:rPr>
          <w:sz w:val="24"/>
          <w:szCs w:val="24"/>
        </w:rPr>
      </w:pPr>
      <w:r>
        <w:rPr>
          <w:b/>
          <w:sz w:val="24"/>
          <w:szCs w:val="24"/>
        </w:rPr>
        <w:lastRenderedPageBreak/>
        <w:t>Caso de abuso en la figura de contratación directa</w:t>
      </w:r>
      <w:r>
        <w:rPr>
          <w:sz w:val="24"/>
          <w:szCs w:val="24"/>
        </w:rPr>
        <w:t xml:space="preserve"> </w:t>
      </w:r>
    </w:p>
    <w:p w:rsidR="00847F44" w:rsidRDefault="00847F44" w:rsidP="005D3B5B">
      <w:pPr>
        <w:spacing w:line="240" w:lineRule="auto"/>
        <w:jc w:val="both"/>
        <w:rPr>
          <w:sz w:val="24"/>
          <w:szCs w:val="24"/>
        </w:rPr>
      </w:pPr>
      <w:r w:rsidRPr="00847F44">
        <w:rPr>
          <w:sz w:val="24"/>
          <w:szCs w:val="24"/>
        </w:rPr>
        <w:t xml:space="preserve">Entre los años 2016 y 2017, la Gobernación de Norte de Santander en cabeza de William Villamizar Laguado (2016- 2019) adjudicó a la Corporación de Desarrollo Social Tanai Jawa cuatro convenios para ejecutar el Programa de Alimentación Escolar-PAE por un monto superior a los $ 50.000 millones de pesos, proceso que se realizó a través de contratación directa. En 2018, la Procuraduría General abrió un proceso disciplinario en contra del mandatario por estos hechos, de igual forma la secretaria general Sonia Arango y la secretaria de Educación, María Fabiola Cáceres Peña fueron vinculadas al proceso. </w:t>
      </w:r>
    </w:p>
    <w:p w:rsidR="005D3B5B" w:rsidRDefault="005D3B5B" w:rsidP="005D3B5B">
      <w:pPr>
        <w:spacing w:line="240" w:lineRule="auto"/>
        <w:jc w:val="both"/>
        <w:rPr>
          <w:b/>
          <w:sz w:val="24"/>
          <w:szCs w:val="24"/>
        </w:rPr>
      </w:pPr>
      <w:r>
        <w:rPr>
          <w:b/>
          <w:sz w:val="24"/>
          <w:szCs w:val="24"/>
        </w:rPr>
        <w:t>Casos de detrimento patrimonial por incumplimiento del objeto contratado</w:t>
      </w:r>
    </w:p>
    <w:p w:rsidR="00847F44" w:rsidRDefault="00847F44" w:rsidP="005D3B5B">
      <w:pPr>
        <w:spacing w:line="240" w:lineRule="auto"/>
        <w:jc w:val="both"/>
        <w:rPr>
          <w:sz w:val="24"/>
          <w:szCs w:val="24"/>
        </w:rPr>
      </w:pPr>
      <w:r w:rsidRPr="00847F44">
        <w:rPr>
          <w:sz w:val="24"/>
          <w:szCs w:val="24"/>
        </w:rPr>
        <w:t>En julio de 2014 la alcaldía municipal de Leticia (Amazonas) suscribió un convenio solidario de apoyo y cooperación por 100 millones de pesos con la Asociación Zonal del Consejo Municipal de Autoridades Indígenas de Tradición Autóctono-Azcaita, cuyo propósito era asegurar la protección de la integridad étnica, cultural, social y económica de las comunidades de un sector de Leticia mediante el fortalecimiento de proyectos tradicionales autóctonos y de soberanía alimentaria. Las investigaciones adelantadas por la Fiscalía General de la Nación demostraron que algunos de los proyectos establecidos en el convenio no se realizaron, generando un detrimento de recursos públicos. Por estos hechos fueron capturados en 2016, Nilson  Aviar Peña representante legal, cuatro autoridades indígenas y un transcriptor. A los implicados le fueron imputados los delitos de contrato sin el cumplimiento de requisitos legales, peculado por apropiación y falsedad ideológica en documento público.</w:t>
      </w:r>
    </w:p>
    <w:p w:rsidR="005D3B5B" w:rsidRDefault="005D3B5B" w:rsidP="005D3B5B">
      <w:pPr>
        <w:spacing w:line="240" w:lineRule="auto"/>
        <w:jc w:val="both"/>
        <w:rPr>
          <w:b/>
          <w:sz w:val="24"/>
          <w:szCs w:val="24"/>
        </w:rPr>
      </w:pPr>
      <w:r>
        <w:rPr>
          <w:b/>
          <w:sz w:val="24"/>
          <w:szCs w:val="24"/>
        </w:rPr>
        <w:t xml:space="preserve">Caso de apropiación irregular de recursos </w:t>
      </w:r>
    </w:p>
    <w:p w:rsidR="0012582D" w:rsidRDefault="00093139" w:rsidP="005D3B5B">
      <w:pPr>
        <w:spacing w:line="240" w:lineRule="auto"/>
        <w:jc w:val="both"/>
        <w:rPr>
          <w:sz w:val="24"/>
          <w:szCs w:val="24"/>
        </w:rPr>
      </w:pPr>
      <w:r w:rsidRPr="00093139">
        <w:rPr>
          <w:sz w:val="24"/>
          <w:szCs w:val="24"/>
        </w:rPr>
        <w:t>Entre 2008 y 2011, periodo en el cual Martha Lucía Vélez, diputada del Valle del Cauca por el partido de la U, ejercía el cargo de secretaria de Hacienda de Cartago permitió una apropiación de recursos públicos de  más de diez mil millones de pesos, los cuales iban a financiar el Plan de Aguas del municipio. Los hechos se presentaron cuando el dinero fue trasladado a una cuenta de recursos propios de Cartago y posteriormente pagados a particulares con autorización del área financiera sin soportes fiscales ni contractuales. En 2017, la diputada fue capturada por estos hechos junto con 21 personas más involucradas. La diputada Vélez obtuvo posteriormente su libertad pero fue recapturada en marzo del 2018 para que cumpliera su medida de asegurami</w:t>
      </w:r>
      <w:r>
        <w:rPr>
          <w:sz w:val="24"/>
          <w:szCs w:val="24"/>
        </w:rPr>
        <w:t>ento</w:t>
      </w:r>
      <w:r w:rsidR="005D3B5B">
        <w:rPr>
          <w:sz w:val="24"/>
          <w:szCs w:val="24"/>
        </w:rPr>
        <w:t>.</w:t>
      </w:r>
      <w:r w:rsidR="005D3B5B">
        <w:rPr>
          <w:rStyle w:val="Refdenotaalpie"/>
          <w:sz w:val="24"/>
          <w:szCs w:val="24"/>
        </w:rPr>
        <w:footnoteReference w:id="14"/>
      </w:r>
    </w:p>
    <w:p w:rsidR="005D3B5B" w:rsidRDefault="005D3B5B" w:rsidP="005D3B5B">
      <w:pPr>
        <w:spacing w:line="240" w:lineRule="auto"/>
        <w:jc w:val="both"/>
        <w:rPr>
          <w:b/>
          <w:sz w:val="24"/>
          <w:szCs w:val="24"/>
        </w:rPr>
      </w:pPr>
      <w:r w:rsidRPr="005D3B5B">
        <w:rPr>
          <w:b/>
          <w:sz w:val="24"/>
          <w:szCs w:val="24"/>
        </w:rPr>
        <w:t>Caso de sobrecostos por irregularidades en celebración de contratos</w:t>
      </w:r>
    </w:p>
    <w:p w:rsidR="00093139" w:rsidRDefault="00093139" w:rsidP="004B6C41">
      <w:pPr>
        <w:jc w:val="both"/>
        <w:rPr>
          <w:sz w:val="24"/>
          <w:szCs w:val="24"/>
        </w:rPr>
      </w:pPr>
      <w:bookmarkStart w:id="16" w:name="_Toc519496651"/>
      <w:r w:rsidRPr="00093139">
        <w:rPr>
          <w:sz w:val="24"/>
          <w:szCs w:val="24"/>
        </w:rPr>
        <w:t xml:space="preserve">En 2016, Luz Patricia Sánchez Rojas, Gerente liquidadora del hospital San Jerónimo de </w:t>
      </w:r>
      <w:r w:rsidR="005F2EEE" w:rsidRPr="00093139">
        <w:rPr>
          <w:sz w:val="24"/>
          <w:szCs w:val="24"/>
        </w:rPr>
        <w:t>Montería</w:t>
      </w:r>
      <w:r w:rsidRPr="00093139">
        <w:rPr>
          <w:sz w:val="24"/>
          <w:szCs w:val="24"/>
        </w:rPr>
        <w:t xml:space="preserve">, celebró un contrato con la comercializadora Nacional Osteocor para la dotación de equipos biomédicos por un valor de más de $2.000 millones de pesos. La Fiscalía General de la Nación  realizó una investigación que demostró que hubo sobrecostos por más de $1.000 millones de pesos. Debido a esto,  en mayo del 2017 le fue impuesta </w:t>
      </w:r>
      <w:r w:rsidRPr="00093139">
        <w:rPr>
          <w:sz w:val="24"/>
          <w:szCs w:val="24"/>
        </w:rPr>
        <w:lastRenderedPageBreak/>
        <w:t xml:space="preserve">medida de aseguramiento no privativa de la libertad y se le imputaran cargos por incurrir en los delitos de peculado por apropiación en favor de terceros y contrato sin cumplimiento de requisitos legales. </w:t>
      </w:r>
    </w:p>
    <w:p w:rsidR="005F6D4D" w:rsidRPr="004B6C41" w:rsidRDefault="004B6C41" w:rsidP="004B6C41">
      <w:pPr>
        <w:jc w:val="both"/>
        <w:rPr>
          <w:b/>
          <w:sz w:val="28"/>
          <w:szCs w:val="24"/>
        </w:rPr>
      </w:pPr>
      <w:r w:rsidRPr="004B6C41">
        <w:rPr>
          <w:b/>
          <w:sz w:val="28"/>
          <w:szCs w:val="24"/>
        </w:rPr>
        <w:t xml:space="preserve">3.2. </w:t>
      </w:r>
      <w:r w:rsidR="004B20DF" w:rsidRPr="004B6C41">
        <w:rPr>
          <w:b/>
          <w:sz w:val="28"/>
          <w:szCs w:val="24"/>
        </w:rPr>
        <w:t xml:space="preserve">La corrupción privada: </w:t>
      </w:r>
      <w:r w:rsidR="002D0B18" w:rsidRPr="004B6C41">
        <w:rPr>
          <w:b/>
          <w:sz w:val="28"/>
          <w:szCs w:val="24"/>
        </w:rPr>
        <w:t>cada vez se registra más</w:t>
      </w:r>
      <w:r w:rsidR="005F6D4D" w:rsidRPr="004B6C41">
        <w:rPr>
          <w:b/>
          <w:sz w:val="28"/>
          <w:szCs w:val="24"/>
        </w:rPr>
        <w:t xml:space="preserve"> </w:t>
      </w:r>
    </w:p>
    <w:p w:rsidR="00134E1D" w:rsidRDefault="00254EA1" w:rsidP="00254EA1">
      <w:pPr>
        <w:jc w:val="both"/>
        <w:rPr>
          <w:sz w:val="24"/>
          <w:szCs w:val="24"/>
        </w:rPr>
      </w:pPr>
      <w:r>
        <w:rPr>
          <w:sz w:val="24"/>
          <w:szCs w:val="24"/>
        </w:rPr>
        <w:t>Del total de los casos registrados en</w:t>
      </w:r>
      <w:r w:rsidR="00044E57">
        <w:rPr>
          <w:sz w:val="24"/>
          <w:szCs w:val="24"/>
        </w:rPr>
        <w:t>tre enero de 2016 y julio del 2018,</w:t>
      </w:r>
      <w:r>
        <w:rPr>
          <w:sz w:val="24"/>
          <w:szCs w:val="24"/>
        </w:rPr>
        <w:t xml:space="preserve"> el 9% están asociados a corrupción privada</w:t>
      </w:r>
      <w:r w:rsidR="005751FF">
        <w:rPr>
          <w:sz w:val="24"/>
          <w:szCs w:val="24"/>
        </w:rPr>
        <w:t xml:space="preserve">, es decir </w:t>
      </w:r>
      <w:r w:rsidR="0012582D">
        <w:rPr>
          <w:sz w:val="24"/>
          <w:szCs w:val="24"/>
        </w:rPr>
        <w:t>30</w:t>
      </w:r>
      <w:r w:rsidR="005751FF">
        <w:rPr>
          <w:sz w:val="24"/>
          <w:szCs w:val="24"/>
        </w:rPr>
        <w:t xml:space="preserve"> casos</w:t>
      </w:r>
      <w:r>
        <w:rPr>
          <w:sz w:val="24"/>
          <w:szCs w:val="24"/>
        </w:rPr>
        <w:t xml:space="preserve">.  </w:t>
      </w:r>
      <w:r w:rsidR="005751FF">
        <w:rPr>
          <w:sz w:val="24"/>
          <w:szCs w:val="24"/>
        </w:rPr>
        <w:t>E</w:t>
      </w:r>
      <w:r>
        <w:rPr>
          <w:sz w:val="24"/>
          <w:szCs w:val="24"/>
        </w:rPr>
        <w:t xml:space="preserve">mpresas y empresarios son también corresponsables en </w:t>
      </w:r>
      <w:r w:rsidR="005751FF">
        <w:rPr>
          <w:sz w:val="24"/>
          <w:szCs w:val="24"/>
        </w:rPr>
        <w:t xml:space="preserve">la prevención, detección y sanción de </w:t>
      </w:r>
      <w:r>
        <w:rPr>
          <w:sz w:val="24"/>
          <w:szCs w:val="24"/>
        </w:rPr>
        <w:t xml:space="preserve">hechos de corrupción que afectan </w:t>
      </w:r>
      <w:r w:rsidR="005751FF">
        <w:rPr>
          <w:sz w:val="24"/>
          <w:szCs w:val="24"/>
        </w:rPr>
        <w:t xml:space="preserve">su propio </w:t>
      </w:r>
      <w:r>
        <w:rPr>
          <w:sz w:val="24"/>
          <w:szCs w:val="24"/>
        </w:rPr>
        <w:t>entorno de</w:t>
      </w:r>
      <w:r w:rsidR="005751FF">
        <w:rPr>
          <w:sz w:val="24"/>
          <w:szCs w:val="24"/>
        </w:rPr>
        <w:t xml:space="preserve"> </w:t>
      </w:r>
      <w:r>
        <w:rPr>
          <w:sz w:val="24"/>
          <w:szCs w:val="24"/>
        </w:rPr>
        <w:t>negocios</w:t>
      </w:r>
      <w:r w:rsidR="005751FF">
        <w:rPr>
          <w:sz w:val="24"/>
          <w:szCs w:val="24"/>
        </w:rPr>
        <w:t>, el mercado en el cual operan</w:t>
      </w:r>
      <w:r>
        <w:rPr>
          <w:sz w:val="24"/>
          <w:szCs w:val="24"/>
        </w:rPr>
        <w:t xml:space="preserve"> y </w:t>
      </w:r>
      <w:r w:rsidR="005751FF">
        <w:rPr>
          <w:sz w:val="24"/>
          <w:szCs w:val="24"/>
        </w:rPr>
        <w:t>su relación con el ámbito público</w:t>
      </w:r>
      <w:r>
        <w:rPr>
          <w:sz w:val="24"/>
          <w:szCs w:val="24"/>
        </w:rPr>
        <w:t xml:space="preserve">. Este tipo de irregularidades erosionan la confianza en las empresas y cuestionan cada vez más los estándares éticos en el ejercicio de las actividades comerciales. </w:t>
      </w:r>
      <w:r w:rsidR="0012582D">
        <w:rPr>
          <w:sz w:val="24"/>
          <w:szCs w:val="24"/>
        </w:rPr>
        <w:t xml:space="preserve">De los 30 hechos de </w:t>
      </w:r>
      <w:r w:rsidR="00B25FF6">
        <w:rPr>
          <w:sz w:val="24"/>
          <w:szCs w:val="24"/>
        </w:rPr>
        <w:t xml:space="preserve">corrupción privada </w:t>
      </w:r>
      <w:r w:rsidR="00E41E63">
        <w:rPr>
          <w:sz w:val="24"/>
          <w:szCs w:val="24"/>
        </w:rPr>
        <w:t>se destacan</w:t>
      </w:r>
      <w:r w:rsidR="00B25FF6">
        <w:rPr>
          <w:sz w:val="24"/>
          <w:szCs w:val="24"/>
        </w:rPr>
        <w:t xml:space="preserve"> en su mayoría las siguientes </w:t>
      </w:r>
      <w:r w:rsidR="00E41E63">
        <w:rPr>
          <w:sz w:val="24"/>
          <w:szCs w:val="24"/>
        </w:rPr>
        <w:t>irregularidades</w:t>
      </w:r>
      <w:r w:rsidR="00CE0F57">
        <w:rPr>
          <w:sz w:val="24"/>
          <w:szCs w:val="24"/>
        </w:rPr>
        <w:t xml:space="preserve"> de la gráfica</w:t>
      </w:r>
      <w:r>
        <w:rPr>
          <w:sz w:val="24"/>
          <w:szCs w:val="24"/>
        </w:rPr>
        <w:t xml:space="preserve">: </w:t>
      </w:r>
    </w:p>
    <w:p w:rsidR="00CE0F57" w:rsidRDefault="00CE0F57" w:rsidP="00254EA1">
      <w:pPr>
        <w:jc w:val="both"/>
        <w:rPr>
          <w:sz w:val="24"/>
          <w:szCs w:val="24"/>
        </w:rPr>
      </w:pPr>
      <w:r w:rsidRPr="00CE0F57">
        <w:rPr>
          <w:noProof/>
          <w:sz w:val="24"/>
          <w:szCs w:val="24"/>
          <w:lang w:eastAsia="es-CO"/>
        </w:rPr>
        <w:drawing>
          <wp:inline distT="0" distB="0" distL="0" distR="0">
            <wp:extent cx="5476875" cy="2667000"/>
            <wp:effectExtent l="19050" t="0" r="9525" b="0"/>
            <wp:docPr id="25"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E0F57" w:rsidRPr="00CE0F57" w:rsidRDefault="00CE0F57" w:rsidP="00CE0F57">
      <w:pPr>
        <w:spacing w:line="240" w:lineRule="auto"/>
        <w:jc w:val="center"/>
        <w:rPr>
          <w:szCs w:val="24"/>
        </w:rPr>
      </w:pPr>
      <w:r w:rsidRPr="00450500">
        <w:rPr>
          <w:rFonts w:ascii="Calibri" w:hAnsi="Calibri" w:cs="Calibri"/>
          <w:sz w:val="20"/>
        </w:rPr>
        <w:t>Fuente: Informe Monitor Ciudadano (2016-2018)</w:t>
      </w:r>
    </w:p>
    <w:p w:rsidR="00044E57" w:rsidRPr="00044E57" w:rsidRDefault="00044E57" w:rsidP="00044E57">
      <w:pPr>
        <w:spacing w:line="256" w:lineRule="auto"/>
        <w:jc w:val="both"/>
        <w:rPr>
          <w:sz w:val="24"/>
          <w:szCs w:val="24"/>
        </w:rPr>
      </w:pPr>
      <w:r>
        <w:rPr>
          <w:sz w:val="24"/>
          <w:szCs w:val="24"/>
        </w:rPr>
        <w:t xml:space="preserve">A continuación se presentan casos de ejemplo que detallan estas irregularidades: </w:t>
      </w:r>
    </w:p>
    <w:p w:rsidR="00B25FF6" w:rsidRDefault="00B25FF6" w:rsidP="00B25FF6">
      <w:pPr>
        <w:jc w:val="both"/>
        <w:rPr>
          <w:b/>
          <w:sz w:val="24"/>
          <w:szCs w:val="24"/>
        </w:rPr>
      </w:pPr>
      <w:r>
        <w:rPr>
          <w:b/>
          <w:sz w:val="24"/>
          <w:szCs w:val="24"/>
        </w:rPr>
        <w:t xml:space="preserve">Casos de malos manejos administrativos arbitrarios o fraudulentos </w:t>
      </w:r>
    </w:p>
    <w:p w:rsidR="00B25FF6" w:rsidRPr="00254EA1" w:rsidRDefault="00093139" w:rsidP="00B25FF6">
      <w:pPr>
        <w:jc w:val="both"/>
        <w:rPr>
          <w:b/>
          <w:sz w:val="24"/>
          <w:szCs w:val="24"/>
        </w:rPr>
      </w:pPr>
      <w:r w:rsidRPr="00093139">
        <w:rPr>
          <w:sz w:val="24"/>
          <w:szCs w:val="24"/>
        </w:rPr>
        <w:t>En abril del 2017 se desplomó un edificio que estaba en construcción en el barrio Blas de Lezo</w:t>
      </w:r>
      <w:r>
        <w:rPr>
          <w:sz w:val="24"/>
          <w:szCs w:val="24"/>
        </w:rPr>
        <w:t xml:space="preserve"> de la ciudad de</w:t>
      </w:r>
      <w:r w:rsidRPr="00093139">
        <w:rPr>
          <w:sz w:val="24"/>
          <w:szCs w:val="24"/>
        </w:rPr>
        <w:t xml:space="preserve"> Cartagena, </w:t>
      </w:r>
      <w:r>
        <w:rPr>
          <w:sz w:val="24"/>
          <w:szCs w:val="24"/>
        </w:rPr>
        <w:t>dejando</w:t>
      </w:r>
      <w:r w:rsidRPr="00093139">
        <w:rPr>
          <w:sz w:val="24"/>
          <w:szCs w:val="24"/>
        </w:rPr>
        <w:t xml:space="preserve"> un saldo de 21 muertos. A raíz de este suceso se empezó a destapar una red familiar responsable de construir 36 edificaciones violando la legislación vigente. En investigaciones realizadas por la Fiscalía General de la Nación se evidenció que la familia Quiroz</w:t>
      </w:r>
      <w:r w:rsidR="00504CDC">
        <w:rPr>
          <w:sz w:val="24"/>
          <w:szCs w:val="24"/>
        </w:rPr>
        <w:t xml:space="preserve"> con la Constructora Quiroz sería la responsable del problema de </w:t>
      </w:r>
      <w:r w:rsidRPr="00093139">
        <w:rPr>
          <w:sz w:val="24"/>
          <w:szCs w:val="24"/>
        </w:rPr>
        <w:t xml:space="preserve">urbanización ilegal en la ciudad. Esta red familiar se dedicó a falsificar licencias de construcción, escrituras públicas y  comercialización de las viviendas sin los permisos requeridos. La Fiscalía también reveló que esta red contaba con el apoyo de </w:t>
      </w:r>
      <w:r w:rsidRPr="00093139">
        <w:rPr>
          <w:sz w:val="24"/>
          <w:szCs w:val="24"/>
        </w:rPr>
        <w:lastRenderedPageBreak/>
        <w:t>diferentes funcionarios de dependencias del distrito turístico, tales como curadores, alcaldes menores, secretarios de planeación y funcionarios control urbano, entre otros. En febrero del 2018 la Fiscalía capturó a todos los miembros de la red familiar de los Quiroz, los imputados podrían pagar penas entre los 6 y los 12 años de prisión. Por otra parte, el alcalde Manuel Duque (2016-2019) también  fue suspendido por 10 meses de su cargo por orden de la Procuraduría, debido a que incurrió en una omisión frente a</w:t>
      </w:r>
      <w:r>
        <w:rPr>
          <w:sz w:val="24"/>
          <w:szCs w:val="24"/>
        </w:rPr>
        <w:t>l control urbano de la ciudad</w:t>
      </w:r>
      <w:r w:rsidR="00B25FF6">
        <w:rPr>
          <w:sz w:val="24"/>
          <w:szCs w:val="24"/>
        </w:rPr>
        <w:t>.</w:t>
      </w:r>
      <w:r w:rsidR="00B25FF6">
        <w:rPr>
          <w:rStyle w:val="Refdenotaalpie"/>
          <w:sz w:val="24"/>
          <w:szCs w:val="24"/>
        </w:rPr>
        <w:footnoteReference w:id="15"/>
      </w:r>
    </w:p>
    <w:p w:rsidR="00B25FF6" w:rsidRDefault="00B25FF6" w:rsidP="00B25FF6">
      <w:pPr>
        <w:jc w:val="both"/>
        <w:rPr>
          <w:b/>
          <w:sz w:val="24"/>
          <w:szCs w:val="24"/>
        </w:rPr>
      </w:pPr>
      <w:r>
        <w:rPr>
          <w:b/>
          <w:sz w:val="24"/>
          <w:szCs w:val="24"/>
        </w:rPr>
        <w:t xml:space="preserve">Casos </w:t>
      </w:r>
      <w:r w:rsidR="0045396C">
        <w:rPr>
          <w:b/>
          <w:sz w:val="24"/>
          <w:szCs w:val="24"/>
        </w:rPr>
        <w:t xml:space="preserve">de </w:t>
      </w:r>
      <w:r>
        <w:rPr>
          <w:b/>
          <w:sz w:val="24"/>
          <w:szCs w:val="24"/>
        </w:rPr>
        <w:t xml:space="preserve">obstáculos a la libre competencia o </w:t>
      </w:r>
      <w:r w:rsidR="00733548">
        <w:rPr>
          <w:b/>
          <w:sz w:val="24"/>
          <w:szCs w:val="24"/>
        </w:rPr>
        <w:t>“</w:t>
      </w:r>
      <w:r>
        <w:rPr>
          <w:b/>
          <w:sz w:val="24"/>
          <w:szCs w:val="24"/>
        </w:rPr>
        <w:t>Cartelización</w:t>
      </w:r>
      <w:r w:rsidR="00733548">
        <w:rPr>
          <w:b/>
          <w:sz w:val="24"/>
          <w:szCs w:val="24"/>
        </w:rPr>
        <w:t>”</w:t>
      </w:r>
      <w:r>
        <w:rPr>
          <w:b/>
          <w:sz w:val="24"/>
          <w:szCs w:val="24"/>
        </w:rPr>
        <w:t xml:space="preserve">   </w:t>
      </w:r>
    </w:p>
    <w:p w:rsidR="00B25FF6" w:rsidRDefault="00AE6747" w:rsidP="00B25FF6">
      <w:pPr>
        <w:jc w:val="both"/>
        <w:rPr>
          <w:sz w:val="24"/>
          <w:szCs w:val="24"/>
        </w:rPr>
      </w:pPr>
      <w:r w:rsidRPr="00AE6747">
        <w:rPr>
          <w:sz w:val="24"/>
          <w:szCs w:val="24"/>
        </w:rPr>
        <w:t>Entre 2009 y 2012, varias empresas de vigilancia que competían en las licitaciones públicas con el Estado por más de $70 mil millones se vieron involucradas en una cartelización al conformar un grupo empresarial denominado Security Managment Group  "Grupo SMG" en el cual manipularon procesos de licitación y fijaron los precios de costo del servicio para beneficiarse entre sí. Por estos hechos, en 2017 fueron sancionadas siete   empresas y sus directores por la Superintendencia de Industria y Comercio, SIC y les f</w:t>
      </w:r>
      <w:r>
        <w:rPr>
          <w:sz w:val="24"/>
          <w:szCs w:val="24"/>
        </w:rPr>
        <w:t>ue impuesta una multa de más de</w:t>
      </w:r>
      <w:r w:rsidRPr="00AE6747">
        <w:rPr>
          <w:sz w:val="24"/>
          <w:szCs w:val="24"/>
        </w:rPr>
        <w:t xml:space="preserve"> $26.000 millones de pesos. La sanción fue dada por la violación a la libre competencia económica</w:t>
      </w:r>
      <w:r w:rsidR="00B25FF6">
        <w:rPr>
          <w:sz w:val="24"/>
          <w:szCs w:val="24"/>
        </w:rPr>
        <w:t>.</w:t>
      </w:r>
      <w:r w:rsidR="00B25FF6">
        <w:rPr>
          <w:rStyle w:val="Refdenotaalpie"/>
          <w:sz w:val="24"/>
          <w:szCs w:val="24"/>
        </w:rPr>
        <w:footnoteReference w:id="16"/>
      </w:r>
      <w:r w:rsidR="00B25FF6">
        <w:rPr>
          <w:sz w:val="24"/>
          <w:szCs w:val="24"/>
        </w:rPr>
        <w:t xml:space="preserve"> </w:t>
      </w:r>
    </w:p>
    <w:p w:rsidR="00B25FF6" w:rsidRDefault="00B25FF6" w:rsidP="00254EA1">
      <w:pPr>
        <w:jc w:val="both"/>
        <w:rPr>
          <w:b/>
          <w:sz w:val="24"/>
          <w:szCs w:val="24"/>
        </w:rPr>
      </w:pPr>
      <w:r>
        <w:rPr>
          <w:b/>
          <w:sz w:val="24"/>
          <w:szCs w:val="24"/>
        </w:rPr>
        <w:t>Caso de sobrecostos en la celebración de contratos</w:t>
      </w:r>
    </w:p>
    <w:p w:rsidR="00AE6747" w:rsidRDefault="00AE6747" w:rsidP="00254EA1">
      <w:pPr>
        <w:jc w:val="both"/>
        <w:rPr>
          <w:sz w:val="24"/>
          <w:szCs w:val="24"/>
        </w:rPr>
      </w:pPr>
      <w:r w:rsidRPr="00AE6747">
        <w:rPr>
          <w:sz w:val="24"/>
          <w:szCs w:val="24"/>
        </w:rPr>
        <w:t xml:space="preserve">En marzo del 2009 </w:t>
      </w:r>
      <w:proofErr w:type="spellStart"/>
      <w:r w:rsidRPr="00AE6747">
        <w:rPr>
          <w:sz w:val="24"/>
          <w:szCs w:val="24"/>
        </w:rPr>
        <w:t>Metrocali</w:t>
      </w:r>
      <w:proofErr w:type="spellEnd"/>
      <w:r w:rsidRPr="00AE6747">
        <w:rPr>
          <w:sz w:val="24"/>
          <w:szCs w:val="24"/>
        </w:rPr>
        <w:t xml:space="preserve"> suscribió un contrato por un valor cercano a los 22 mil millones de pesos con </w:t>
      </w:r>
      <w:proofErr w:type="spellStart"/>
      <w:r w:rsidRPr="00AE6747">
        <w:rPr>
          <w:sz w:val="24"/>
          <w:szCs w:val="24"/>
        </w:rPr>
        <w:t>Hafira</w:t>
      </w:r>
      <w:proofErr w:type="spellEnd"/>
      <w:r w:rsidRPr="00AE6747">
        <w:rPr>
          <w:sz w:val="24"/>
          <w:szCs w:val="24"/>
        </w:rPr>
        <w:t xml:space="preserve"> Ve </w:t>
      </w:r>
      <w:proofErr w:type="spellStart"/>
      <w:r w:rsidRPr="00AE6747">
        <w:rPr>
          <w:sz w:val="24"/>
          <w:szCs w:val="24"/>
        </w:rPr>
        <w:t>Hatziva</w:t>
      </w:r>
      <w:proofErr w:type="spellEnd"/>
      <w:r w:rsidRPr="00AE6747">
        <w:rPr>
          <w:sz w:val="24"/>
          <w:szCs w:val="24"/>
        </w:rPr>
        <w:t xml:space="preserve"> Ltda., empresa israelí, para construir la Terminal Calima del Sistema Integrado de Transporte Masivo de Cali, con un plazo de ejecución de 10 meses. Tras múltiples suspensiones y prórrogas solo hasta noviembre del 2010 se inició la etapa de </w:t>
      </w:r>
      <w:proofErr w:type="spellStart"/>
      <w:r w:rsidRPr="00AE6747">
        <w:rPr>
          <w:sz w:val="24"/>
          <w:szCs w:val="24"/>
        </w:rPr>
        <w:t>preconstrucción</w:t>
      </w:r>
      <w:proofErr w:type="spellEnd"/>
      <w:r w:rsidRPr="00AE6747">
        <w:rPr>
          <w:sz w:val="24"/>
          <w:szCs w:val="24"/>
        </w:rPr>
        <w:t xml:space="preserve"> y  </w:t>
      </w:r>
      <w:proofErr w:type="spellStart"/>
      <w:r w:rsidRPr="00AE6747">
        <w:rPr>
          <w:sz w:val="24"/>
          <w:szCs w:val="24"/>
        </w:rPr>
        <w:t>Metrocali</w:t>
      </w:r>
      <w:proofErr w:type="spellEnd"/>
      <w:r w:rsidRPr="00AE6747">
        <w:rPr>
          <w:sz w:val="24"/>
          <w:szCs w:val="24"/>
        </w:rPr>
        <w:t xml:space="preserve"> le giró a la empresa un anticipo de más de 6.825 millones de pesos que correspondía al  c30 por ciento del valor del contrato. Este monto debía destinarse específicamente a comprar materiales, planta y equipos, pero la empresa contratada gastó el dinero injustificadamente y  nunca ejecutó la obra. Por estos hechos no sólo se incumplió el contrato, sino que muchos de los gastos no contaban con los correspondientes soportes o contables que los justificaran, generando incertidumbre sobre el destino de los recursos. En abril de 2017 la Contraloría General de la República condenó a Luis Eduardo Barrera, </w:t>
      </w:r>
      <w:proofErr w:type="spellStart"/>
      <w:r w:rsidRPr="00AE6747">
        <w:rPr>
          <w:sz w:val="24"/>
          <w:szCs w:val="24"/>
        </w:rPr>
        <w:t>expresidente</w:t>
      </w:r>
      <w:proofErr w:type="spellEnd"/>
      <w:r w:rsidRPr="00AE6747">
        <w:rPr>
          <w:sz w:val="24"/>
          <w:szCs w:val="24"/>
        </w:rPr>
        <w:t xml:space="preserve"> de </w:t>
      </w:r>
      <w:proofErr w:type="spellStart"/>
      <w:r w:rsidRPr="00AE6747">
        <w:rPr>
          <w:sz w:val="24"/>
          <w:szCs w:val="24"/>
        </w:rPr>
        <w:t>Metrocali</w:t>
      </w:r>
      <w:proofErr w:type="spellEnd"/>
      <w:r w:rsidRPr="00AE6747">
        <w:rPr>
          <w:sz w:val="24"/>
          <w:szCs w:val="24"/>
        </w:rPr>
        <w:t xml:space="preserve">, y a la empresa </w:t>
      </w:r>
      <w:proofErr w:type="spellStart"/>
      <w:r w:rsidRPr="00AE6747">
        <w:rPr>
          <w:sz w:val="24"/>
          <w:szCs w:val="24"/>
        </w:rPr>
        <w:t>Israeli</w:t>
      </w:r>
      <w:proofErr w:type="spellEnd"/>
      <w:r w:rsidRPr="00AE6747">
        <w:rPr>
          <w:sz w:val="24"/>
          <w:szCs w:val="24"/>
        </w:rPr>
        <w:t xml:space="preserve">, imponiéndoles una multa de más de   8 mil millones de pesos. </w:t>
      </w:r>
    </w:p>
    <w:p w:rsidR="00044E57" w:rsidRDefault="006E76A5" w:rsidP="00254EA1">
      <w:pPr>
        <w:jc w:val="both"/>
        <w:rPr>
          <w:b/>
          <w:sz w:val="24"/>
          <w:szCs w:val="24"/>
        </w:rPr>
      </w:pPr>
      <w:r w:rsidRPr="005827F0">
        <w:rPr>
          <w:b/>
          <w:sz w:val="24"/>
          <w:szCs w:val="24"/>
        </w:rPr>
        <w:t xml:space="preserve">Casos de </w:t>
      </w:r>
      <w:r w:rsidR="005827F0">
        <w:rPr>
          <w:b/>
          <w:sz w:val="24"/>
          <w:szCs w:val="24"/>
        </w:rPr>
        <w:t>l</w:t>
      </w:r>
      <w:r w:rsidRPr="005827F0">
        <w:rPr>
          <w:b/>
          <w:sz w:val="24"/>
          <w:szCs w:val="24"/>
        </w:rPr>
        <w:t>avado de activos, evasión de impuestos y contrabando</w:t>
      </w:r>
    </w:p>
    <w:p w:rsidR="00254EA1" w:rsidRDefault="004901D7" w:rsidP="00254EA1">
      <w:pPr>
        <w:jc w:val="both"/>
        <w:rPr>
          <w:sz w:val="24"/>
          <w:szCs w:val="24"/>
        </w:rPr>
      </w:pPr>
      <w:r w:rsidRPr="004901D7">
        <w:rPr>
          <w:sz w:val="24"/>
          <w:szCs w:val="24"/>
        </w:rPr>
        <w:t xml:space="preserve">En 2018 la Policía Nacional y la Fiscalía General de la Nación desmantelaron una organización que compraba medicamentos vencidos en Venezuela y Ecuador para luego traerlos al país, que operaba en Barranquilla, Cartagena, Montería, Bogotá y Medellín. La </w:t>
      </w:r>
      <w:r w:rsidRPr="004901D7">
        <w:rPr>
          <w:sz w:val="24"/>
          <w:szCs w:val="24"/>
        </w:rPr>
        <w:lastRenderedPageBreak/>
        <w:t xml:space="preserve">red alteraba los registros sanitarios y demás permisos para así venderle droga inservible a </w:t>
      </w:r>
      <w:r>
        <w:rPr>
          <w:sz w:val="24"/>
          <w:szCs w:val="24"/>
        </w:rPr>
        <w:t xml:space="preserve">hospitales, </w:t>
      </w:r>
      <w:r w:rsidRPr="004901D7">
        <w:rPr>
          <w:sz w:val="24"/>
          <w:szCs w:val="24"/>
        </w:rPr>
        <w:t>clínicas, farmacias y pacientes. La red traficaba con medicamentos que trataban enfermedades de alto costo. En otras ocasiones, afirmaron las autoridades, la red robaba medicinas de almacenes de EPS o recompraban las drogas a pacientes para luego revenderlas. De igual forma contaban con laboratorios clandestinos donde usaban cemento, harina y colorantes artificiales para la fabricación</w:t>
      </w:r>
      <w:r>
        <w:rPr>
          <w:sz w:val="24"/>
          <w:szCs w:val="24"/>
        </w:rPr>
        <w:t xml:space="preserve"> de falsos medicamentos.</w:t>
      </w:r>
      <w:r w:rsidRPr="004901D7">
        <w:rPr>
          <w:sz w:val="24"/>
          <w:szCs w:val="24"/>
        </w:rPr>
        <w:t xml:space="preserve"> Se estima que cada año facturaban más de 5.000 millones de pesos. Hasta mes abril de 2018,  el CTI de la Fiscalía había capturado a 34 integrantes de la red entre ellos Fernando Teherán, líder de la red, Said Moreno Pérez, gerente</w:t>
      </w:r>
      <w:r>
        <w:rPr>
          <w:sz w:val="24"/>
          <w:szCs w:val="24"/>
        </w:rPr>
        <w:t xml:space="preserve"> de la distribuidora </w:t>
      </w:r>
      <w:proofErr w:type="spellStart"/>
      <w:r>
        <w:rPr>
          <w:sz w:val="24"/>
          <w:szCs w:val="24"/>
        </w:rPr>
        <w:t>Farmapos</w:t>
      </w:r>
      <w:proofErr w:type="spellEnd"/>
      <w:r w:rsidRPr="004901D7">
        <w:rPr>
          <w:sz w:val="24"/>
          <w:szCs w:val="24"/>
        </w:rPr>
        <w:t xml:space="preserve"> y la representante legal, France Lozano Sepúlveda; </w:t>
      </w:r>
      <w:proofErr w:type="spellStart"/>
      <w:r w:rsidRPr="004901D7">
        <w:rPr>
          <w:sz w:val="24"/>
          <w:szCs w:val="24"/>
        </w:rPr>
        <w:t>Osmany</w:t>
      </w:r>
      <w:proofErr w:type="spellEnd"/>
      <w:r w:rsidRPr="004901D7">
        <w:rPr>
          <w:sz w:val="24"/>
          <w:szCs w:val="24"/>
        </w:rPr>
        <w:t xml:space="preserve"> Córdoba Peña, de la distribuidora </w:t>
      </w:r>
      <w:proofErr w:type="spellStart"/>
      <w:r w:rsidRPr="004901D7">
        <w:rPr>
          <w:sz w:val="24"/>
          <w:szCs w:val="24"/>
        </w:rPr>
        <w:t>VC</w:t>
      </w:r>
      <w:proofErr w:type="spellEnd"/>
      <w:r w:rsidRPr="004901D7">
        <w:rPr>
          <w:sz w:val="24"/>
          <w:szCs w:val="24"/>
        </w:rPr>
        <w:t xml:space="preserve"> </w:t>
      </w:r>
      <w:proofErr w:type="spellStart"/>
      <w:r w:rsidRPr="004901D7">
        <w:rPr>
          <w:sz w:val="24"/>
          <w:szCs w:val="24"/>
        </w:rPr>
        <w:t>Medical</w:t>
      </w:r>
      <w:proofErr w:type="spellEnd"/>
      <w:r w:rsidRPr="004901D7">
        <w:rPr>
          <w:sz w:val="24"/>
          <w:szCs w:val="24"/>
        </w:rPr>
        <w:t xml:space="preserve">; </w:t>
      </w:r>
      <w:proofErr w:type="spellStart"/>
      <w:r w:rsidRPr="004901D7">
        <w:rPr>
          <w:sz w:val="24"/>
          <w:szCs w:val="24"/>
        </w:rPr>
        <w:t>Lester</w:t>
      </w:r>
      <w:proofErr w:type="spellEnd"/>
      <w:r w:rsidRPr="004901D7">
        <w:rPr>
          <w:sz w:val="24"/>
          <w:szCs w:val="24"/>
        </w:rPr>
        <w:t xml:space="preserve"> Turbay, distribuidor independiente de </w:t>
      </w:r>
      <w:proofErr w:type="spellStart"/>
      <w:r w:rsidRPr="004901D7">
        <w:rPr>
          <w:sz w:val="24"/>
          <w:szCs w:val="24"/>
        </w:rPr>
        <w:t>Survanta</w:t>
      </w:r>
      <w:proofErr w:type="spellEnd"/>
      <w:r w:rsidRPr="004901D7">
        <w:rPr>
          <w:sz w:val="24"/>
          <w:szCs w:val="24"/>
        </w:rPr>
        <w:t>; y Aroldo Daza Durán, regente de compras de la Clínica Laura Daniela de Valledupar</w:t>
      </w:r>
      <w:r w:rsidR="00254EA1">
        <w:rPr>
          <w:sz w:val="24"/>
          <w:szCs w:val="24"/>
        </w:rPr>
        <w:t>.</w:t>
      </w:r>
      <w:r w:rsidR="00254EA1">
        <w:rPr>
          <w:sz w:val="24"/>
          <w:szCs w:val="24"/>
          <w:vertAlign w:val="superscript"/>
        </w:rPr>
        <w:footnoteReference w:id="17"/>
      </w:r>
      <w:r w:rsidR="00254EA1">
        <w:rPr>
          <w:sz w:val="24"/>
          <w:szCs w:val="24"/>
        </w:rPr>
        <w:t xml:space="preserve"> </w:t>
      </w:r>
    </w:p>
    <w:p w:rsidR="00044E57" w:rsidRDefault="00254EA1" w:rsidP="00254EA1">
      <w:pPr>
        <w:jc w:val="both"/>
        <w:rPr>
          <w:sz w:val="24"/>
          <w:szCs w:val="24"/>
        </w:rPr>
      </w:pPr>
      <w:r>
        <w:rPr>
          <w:b/>
          <w:sz w:val="24"/>
          <w:szCs w:val="24"/>
        </w:rPr>
        <w:t>Casos de incumplimiento de</w:t>
      </w:r>
      <w:r>
        <w:rPr>
          <w:sz w:val="24"/>
          <w:szCs w:val="24"/>
        </w:rPr>
        <w:t xml:space="preserve"> </w:t>
      </w:r>
      <w:r>
        <w:rPr>
          <w:b/>
          <w:sz w:val="24"/>
          <w:szCs w:val="24"/>
        </w:rPr>
        <w:t>acuerdos</w:t>
      </w:r>
      <w:r>
        <w:rPr>
          <w:sz w:val="24"/>
          <w:szCs w:val="24"/>
        </w:rPr>
        <w:t xml:space="preserve">  </w:t>
      </w:r>
    </w:p>
    <w:p w:rsidR="0077491E" w:rsidRDefault="0077491E" w:rsidP="00616E06">
      <w:pPr>
        <w:spacing w:line="240" w:lineRule="auto"/>
        <w:jc w:val="both"/>
        <w:rPr>
          <w:sz w:val="24"/>
          <w:szCs w:val="24"/>
        </w:rPr>
      </w:pPr>
      <w:r w:rsidRPr="0077491E">
        <w:rPr>
          <w:sz w:val="24"/>
          <w:szCs w:val="24"/>
        </w:rPr>
        <w:t>En</w:t>
      </w:r>
      <w:r>
        <w:rPr>
          <w:sz w:val="24"/>
          <w:szCs w:val="24"/>
        </w:rPr>
        <w:t xml:space="preserve"> el periodo</w:t>
      </w:r>
      <w:r w:rsidRPr="0077491E">
        <w:rPr>
          <w:sz w:val="24"/>
          <w:szCs w:val="24"/>
        </w:rPr>
        <w:t xml:space="preserve"> 2012 y 2015</w:t>
      </w:r>
      <w:r>
        <w:rPr>
          <w:sz w:val="24"/>
          <w:szCs w:val="24"/>
        </w:rPr>
        <w:t xml:space="preserve"> cuando</w:t>
      </w:r>
      <w:r w:rsidRPr="0077491E">
        <w:rPr>
          <w:sz w:val="24"/>
          <w:szCs w:val="24"/>
        </w:rPr>
        <w:t xml:space="preserve"> Marcela del Pilar Arce He</w:t>
      </w:r>
      <w:r>
        <w:rPr>
          <w:sz w:val="24"/>
          <w:szCs w:val="24"/>
        </w:rPr>
        <w:t xml:space="preserve">rnández era alcaldesa de </w:t>
      </w:r>
      <w:proofErr w:type="spellStart"/>
      <w:r>
        <w:rPr>
          <w:sz w:val="24"/>
          <w:szCs w:val="24"/>
        </w:rPr>
        <w:t>Simacota</w:t>
      </w:r>
      <w:proofErr w:type="spellEnd"/>
      <w:r>
        <w:rPr>
          <w:sz w:val="24"/>
          <w:szCs w:val="24"/>
        </w:rPr>
        <w:t xml:space="preserve"> -Santander</w:t>
      </w:r>
      <w:r w:rsidRPr="0077491E">
        <w:rPr>
          <w:sz w:val="24"/>
          <w:szCs w:val="24"/>
        </w:rPr>
        <w:t xml:space="preserve">, cometió varias irregularidades en la celebración de contratos. En 2012 suscribió uno de compraventa de una moto niveladora para el municipio con el Grupo Empresarial del Oriente, por un valor de 577 millones de pesos. El contrato no se cumplió en el tiempo estipulado (dos meses) por lo cual en 2016 le fueron imputados cargos por los delitos de contrato sin llenar los requisitos, peculado por apropiación, y violación al régimen de inhabilidades e incompatibilidades. En febrero de 2017 fue capturada por otros hechos relacionados con la construcción en 2015 de un pozo profundo y la adecuación de un acueducto rural en el municipio, por un monto de  18 millones de pesos, contrato que nunca se ejecutó aunque sí se le entregaron todos los recursos al contratista. Por este último hecho le fueron imputados los delitos de peculado por apropiación, contrato sin cumplimiento de requisitos legales, falsedad ideológica en documento público y asociación para la comisión de un delito contra la administración pública. </w:t>
      </w:r>
    </w:p>
    <w:p w:rsidR="00616E06" w:rsidRDefault="00674D07" w:rsidP="00616E06">
      <w:pPr>
        <w:spacing w:line="240" w:lineRule="auto"/>
        <w:jc w:val="both"/>
        <w:rPr>
          <w:b/>
          <w:sz w:val="28"/>
          <w:szCs w:val="24"/>
        </w:rPr>
      </w:pPr>
      <w:r>
        <w:rPr>
          <w:b/>
          <w:sz w:val="28"/>
          <w:szCs w:val="24"/>
        </w:rPr>
        <w:t>3.3</w:t>
      </w:r>
      <w:r w:rsidR="00A85A51" w:rsidRPr="00AE6576">
        <w:rPr>
          <w:b/>
          <w:sz w:val="28"/>
          <w:szCs w:val="24"/>
        </w:rPr>
        <w:t xml:space="preserve"> </w:t>
      </w:r>
      <w:r w:rsidR="00AE6576" w:rsidRPr="00AE6576">
        <w:rPr>
          <w:b/>
          <w:sz w:val="28"/>
          <w:szCs w:val="24"/>
        </w:rPr>
        <w:t xml:space="preserve">Corrupción en la </w:t>
      </w:r>
      <w:r w:rsidR="00616E06" w:rsidRPr="00AE6576">
        <w:rPr>
          <w:b/>
          <w:sz w:val="28"/>
          <w:szCs w:val="24"/>
        </w:rPr>
        <w:t>Política:</w:t>
      </w:r>
      <w:r w:rsidR="00616E06">
        <w:rPr>
          <w:b/>
          <w:sz w:val="28"/>
          <w:szCs w:val="24"/>
        </w:rPr>
        <w:t xml:space="preserve"> como te financias gobiernas </w:t>
      </w:r>
    </w:p>
    <w:p w:rsidR="00254EA1" w:rsidRPr="00254EA1" w:rsidRDefault="00254EA1" w:rsidP="00254EA1">
      <w:pPr>
        <w:jc w:val="both"/>
        <w:rPr>
          <w:sz w:val="24"/>
          <w:szCs w:val="24"/>
        </w:rPr>
      </w:pPr>
      <w:r w:rsidRPr="00254EA1">
        <w:rPr>
          <w:sz w:val="24"/>
          <w:szCs w:val="24"/>
        </w:rPr>
        <w:t xml:space="preserve">Dentro del ciclo de la corrupción, aquella que ocurre en la política es quizás la más estratégica dentro del entramado de la corrupción y el crimen organizado. Los delitos e irregularidades más comunes están asociados a uso de financiación prohibida, fraude electoral, compra de votos y comportamientos irregulares de los partidos políticos tales como otorgamiento de avales a candidatos inhabilitados. </w:t>
      </w:r>
      <w:r w:rsidR="00CB58B4">
        <w:rPr>
          <w:sz w:val="24"/>
          <w:szCs w:val="24"/>
        </w:rPr>
        <w:t>El efecto de las irregularidades y la falta de transparencia en el financiamiento de campañas ha sido analizado ampliamente por Transparencia por Colombia, concluyendo que</w:t>
      </w:r>
      <w:r w:rsidR="00073FB8">
        <w:rPr>
          <w:sz w:val="24"/>
          <w:szCs w:val="24"/>
        </w:rPr>
        <w:t xml:space="preserve"> </w:t>
      </w:r>
      <w:r w:rsidR="00073FB8" w:rsidRPr="0046623B">
        <w:rPr>
          <w:sz w:val="24"/>
          <w:szCs w:val="24"/>
        </w:rPr>
        <w:t xml:space="preserve">las irregularidades y abusos de los corruptos </w:t>
      </w:r>
      <w:r w:rsidR="00073FB8">
        <w:rPr>
          <w:sz w:val="24"/>
          <w:szCs w:val="24"/>
        </w:rPr>
        <w:t xml:space="preserve">se </w:t>
      </w:r>
      <w:r w:rsidR="00073FB8" w:rsidRPr="008F31A0">
        <w:rPr>
          <w:sz w:val="24"/>
          <w:szCs w:val="24"/>
        </w:rPr>
        <w:t>conectan</w:t>
      </w:r>
      <w:r w:rsidR="00073FB8">
        <w:rPr>
          <w:sz w:val="24"/>
          <w:szCs w:val="24"/>
        </w:rPr>
        <w:t xml:space="preserve"> con</w:t>
      </w:r>
      <w:r w:rsidR="00073FB8" w:rsidRPr="008F31A0">
        <w:rPr>
          <w:sz w:val="24"/>
          <w:szCs w:val="24"/>
        </w:rPr>
        <w:t xml:space="preserve"> los arreglos para acceder al poder </w:t>
      </w:r>
      <w:r w:rsidR="00073FB8">
        <w:rPr>
          <w:sz w:val="24"/>
          <w:szCs w:val="24"/>
        </w:rPr>
        <w:t xml:space="preserve">y </w:t>
      </w:r>
      <w:r w:rsidR="00073FB8" w:rsidRPr="008F31A0">
        <w:rPr>
          <w:sz w:val="24"/>
          <w:szCs w:val="24"/>
        </w:rPr>
        <w:t xml:space="preserve">con las formas para </w:t>
      </w:r>
      <w:r w:rsidR="00073FB8" w:rsidRPr="008F31A0">
        <w:rPr>
          <w:sz w:val="24"/>
          <w:szCs w:val="24"/>
        </w:rPr>
        <w:lastRenderedPageBreak/>
        <w:t>gestionarlo</w:t>
      </w:r>
      <w:r w:rsidR="00073FB8">
        <w:rPr>
          <w:sz w:val="24"/>
          <w:szCs w:val="24"/>
        </w:rPr>
        <w:t xml:space="preserve">, Esto bajo una frase coloquial indica que “como así como te financias, así gobiernas”. </w:t>
      </w:r>
    </w:p>
    <w:p w:rsidR="00073FB8" w:rsidRPr="00254EA1" w:rsidRDefault="00254EA1" w:rsidP="00073FB8">
      <w:pPr>
        <w:jc w:val="both"/>
        <w:rPr>
          <w:sz w:val="24"/>
          <w:szCs w:val="24"/>
        </w:rPr>
      </w:pPr>
      <w:r w:rsidRPr="00254EA1">
        <w:rPr>
          <w:sz w:val="24"/>
          <w:szCs w:val="24"/>
        </w:rPr>
        <w:t xml:space="preserve">De acuerdo a los datos obtenidos por el Monitor Ciudadano, </w:t>
      </w:r>
      <w:r w:rsidR="00E8725A">
        <w:rPr>
          <w:sz w:val="24"/>
          <w:szCs w:val="24"/>
        </w:rPr>
        <w:t>se evidencia que</w:t>
      </w:r>
      <w:r w:rsidR="0012582D">
        <w:rPr>
          <w:sz w:val="24"/>
          <w:szCs w:val="24"/>
        </w:rPr>
        <w:t xml:space="preserve"> </w:t>
      </w:r>
      <w:r w:rsidR="0045396C">
        <w:rPr>
          <w:sz w:val="24"/>
          <w:szCs w:val="24"/>
        </w:rPr>
        <w:t>de los 21 casos asociados a corrupción política,</w:t>
      </w:r>
      <w:r w:rsidR="00843E37">
        <w:rPr>
          <w:sz w:val="24"/>
          <w:szCs w:val="24"/>
        </w:rPr>
        <w:t xml:space="preserve"> </w:t>
      </w:r>
      <w:r w:rsidRPr="00254EA1">
        <w:rPr>
          <w:sz w:val="24"/>
          <w:szCs w:val="24"/>
        </w:rPr>
        <w:t>las irregularidades mayo</w:t>
      </w:r>
      <w:r w:rsidR="0086427F">
        <w:rPr>
          <w:sz w:val="24"/>
          <w:szCs w:val="24"/>
        </w:rPr>
        <w:t xml:space="preserve">rmente detectadas se vinculan a: </w:t>
      </w:r>
    </w:p>
    <w:p w:rsidR="00254EA1" w:rsidRPr="00254EA1" w:rsidRDefault="00254EA1" w:rsidP="00FA2230">
      <w:pPr>
        <w:pStyle w:val="Prrafodelista"/>
        <w:numPr>
          <w:ilvl w:val="0"/>
          <w:numId w:val="4"/>
        </w:numPr>
        <w:spacing w:line="256" w:lineRule="auto"/>
        <w:rPr>
          <w:sz w:val="24"/>
        </w:rPr>
      </w:pPr>
      <w:r w:rsidRPr="00254EA1">
        <w:rPr>
          <w:sz w:val="24"/>
        </w:rPr>
        <w:t>Nóminas paralelas con fines políticos</w:t>
      </w:r>
      <w:r w:rsidR="0052550A">
        <w:rPr>
          <w:sz w:val="24"/>
        </w:rPr>
        <w:t xml:space="preserve"> (</w:t>
      </w:r>
      <w:r w:rsidR="00843E37">
        <w:rPr>
          <w:sz w:val="24"/>
        </w:rPr>
        <w:t>25</w:t>
      </w:r>
      <w:r w:rsidR="0052550A">
        <w:rPr>
          <w:sz w:val="24"/>
        </w:rPr>
        <w:t>%</w:t>
      </w:r>
      <w:r w:rsidR="00843E37">
        <w:rPr>
          <w:sz w:val="24"/>
        </w:rPr>
        <w:t>)</w:t>
      </w:r>
      <w:r w:rsidR="005D3B5B">
        <w:rPr>
          <w:rStyle w:val="Refdenotaalpie"/>
          <w:sz w:val="24"/>
        </w:rPr>
        <w:footnoteReference w:id="18"/>
      </w:r>
      <w:r w:rsidRPr="00254EA1">
        <w:rPr>
          <w:sz w:val="24"/>
        </w:rPr>
        <w:t xml:space="preserve">, </w:t>
      </w:r>
    </w:p>
    <w:p w:rsidR="0052550A" w:rsidRPr="0052550A" w:rsidRDefault="0052550A" w:rsidP="0052550A">
      <w:pPr>
        <w:pStyle w:val="Prrafodelista"/>
        <w:numPr>
          <w:ilvl w:val="0"/>
          <w:numId w:val="4"/>
        </w:numPr>
        <w:spacing w:after="0" w:line="240" w:lineRule="auto"/>
        <w:rPr>
          <w:sz w:val="24"/>
        </w:rPr>
      </w:pPr>
      <w:r>
        <w:rPr>
          <w:sz w:val="24"/>
        </w:rPr>
        <w:t>F</w:t>
      </w:r>
      <w:r w:rsidRPr="0052550A">
        <w:rPr>
          <w:sz w:val="24"/>
        </w:rPr>
        <w:t>inanciación de campañas con fuentes prohibidas</w:t>
      </w:r>
      <w:r>
        <w:rPr>
          <w:sz w:val="24"/>
        </w:rPr>
        <w:t xml:space="preserve"> (19%) </w:t>
      </w:r>
    </w:p>
    <w:p w:rsidR="0052550A" w:rsidRDefault="00843E37" w:rsidP="00843E37">
      <w:pPr>
        <w:pStyle w:val="Prrafodelista"/>
        <w:numPr>
          <w:ilvl w:val="0"/>
          <w:numId w:val="4"/>
        </w:numPr>
        <w:spacing w:line="256" w:lineRule="auto"/>
        <w:rPr>
          <w:sz w:val="24"/>
        </w:rPr>
      </w:pPr>
      <w:r>
        <w:rPr>
          <w:sz w:val="24"/>
        </w:rPr>
        <w:t>P</w:t>
      </w:r>
      <w:r w:rsidRPr="00254EA1">
        <w:rPr>
          <w:sz w:val="24"/>
        </w:rPr>
        <w:t>resiones a funcionarios públicos y/o contratistas pa</w:t>
      </w:r>
      <w:r>
        <w:rPr>
          <w:sz w:val="24"/>
        </w:rPr>
        <w:t xml:space="preserve">ra votar a favor de candidatos (9%) </w:t>
      </w:r>
    </w:p>
    <w:p w:rsidR="00843E37" w:rsidRDefault="00843E37" w:rsidP="00843E37">
      <w:pPr>
        <w:pStyle w:val="Prrafodelista"/>
        <w:numPr>
          <w:ilvl w:val="0"/>
          <w:numId w:val="4"/>
        </w:numPr>
        <w:spacing w:line="256" w:lineRule="auto"/>
        <w:rPr>
          <w:sz w:val="24"/>
        </w:rPr>
      </w:pPr>
      <w:r>
        <w:rPr>
          <w:sz w:val="24"/>
        </w:rPr>
        <w:t>O</w:t>
      </w:r>
      <w:r w:rsidRPr="00254EA1">
        <w:rPr>
          <w:sz w:val="24"/>
        </w:rPr>
        <w:t xml:space="preserve">bstrucción de procesos de revocatoria del mandato </w:t>
      </w:r>
      <w:r>
        <w:rPr>
          <w:sz w:val="24"/>
        </w:rPr>
        <w:t xml:space="preserve">(9%) </w:t>
      </w:r>
    </w:p>
    <w:p w:rsidR="00843E37" w:rsidRDefault="00843E37" w:rsidP="00843E37">
      <w:pPr>
        <w:pStyle w:val="Prrafodelista"/>
        <w:numPr>
          <w:ilvl w:val="0"/>
          <w:numId w:val="4"/>
        </w:numPr>
        <w:spacing w:line="256" w:lineRule="auto"/>
        <w:rPr>
          <w:sz w:val="24"/>
        </w:rPr>
      </w:pPr>
      <w:r>
        <w:rPr>
          <w:sz w:val="24"/>
        </w:rPr>
        <w:t>I</w:t>
      </w:r>
      <w:r w:rsidRPr="00254EA1">
        <w:rPr>
          <w:sz w:val="24"/>
        </w:rPr>
        <w:t>nscripción de candidatos inhabilitados para ocupar cargos públicos</w:t>
      </w:r>
      <w:r>
        <w:rPr>
          <w:sz w:val="24"/>
        </w:rPr>
        <w:t xml:space="preserve"> (9%) </w:t>
      </w:r>
    </w:p>
    <w:p w:rsidR="00E61132" w:rsidRPr="004158E6" w:rsidRDefault="00E61132" w:rsidP="004158E6">
      <w:pPr>
        <w:spacing w:line="256" w:lineRule="auto"/>
        <w:rPr>
          <w:b/>
          <w:sz w:val="24"/>
        </w:rPr>
      </w:pPr>
      <w:r w:rsidRPr="004158E6">
        <w:rPr>
          <w:b/>
          <w:sz w:val="24"/>
        </w:rPr>
        <w:t xml:space="preserve">Gráfica #5. </w:t>
      </w:r>
      <w:r w:rsidR="004158E6" w:rsidRPr="004158E6">
        <w:rPr>
          <w:b/>
          <w:sz w:val="24"/>
        </w:rPr>
        <w:t xml:space="preserve">Porcentaje de hechos de corrupción política de acuerdo a irregularidades más comunes </w:t>
      </w:r>
    </w:p>
    <w:p w:rsidR="00073FB8" w:rsidRDefault="00073FB8" w:rsidP="006C3531">
      <w:pPr>
        <w:spacing w:line="256" w:lineRule="auto"/>
        <w:rPr>
          <w:sz w:val="24"/>
        </w:rPr>
      </w:pPr>
      <w:r w:rsidRPr="00073FB8">
        <w:rPr>
          <w:noProof/>
          <w:sz w:val="24"/>
          <w:lang w:eastAsia="es-CO"/>
        </w:rPr>
        <w:drawing>
          <wp:inline distT="0" distB="0" distL="0" distR="0">
            <wp:extent cx="5612130" cy="2724150"/>
            <wp:effectExtent l="19050" t="0" r="26670" b="0"/>
            <wp:docPr id="13"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73FB8" w:rsidRPr="00073FB8" w:rsidRDefault="00073FB8" w:rsidP="00073FB8">
      <w:pPr>
        <w:spacing w:line="240" w:lineRule="auto"/>
        <w:jc w:val="center"/>
        <w:rPr>
          <w:szCs w:val="24"/>
        </w:rPr>
      </w:pPr>
      <w:r w:rsidRPr="00450500">
        <w:rPr>
          <w:rFonts w:ascii="Calibri" w:hAnsi="Calibri" w:cs="Calibri"/>
          <w:sz w:val="20"/>
        </w:rPr>
        <w:t>Fuente: Informe Monitor Ciudadano (2016-2018)</w:t>
      </w:r>
    </w:p>
    <w:p w:rsidR="00D052F1" w:rsidRDefault="00D052F1" w:rsidP="006C3531">
      <w:pPr>
        <w:spacing w:line="256" w:lineRule="auto"/>
        <w:rPr>
          <w:sz w:val="24"/>
        </w:rPr>
      </w:pPr>
    </w:p>
    <w:p w:rsidR="00D052F1" w:rsidRDefault="00D052F1" w:rsidP="006C3531">
      <w:pPr>
        <w:spacing w:line="256" w:lineRule="auto"/>
        <w:rPr>
          <w:sz w:val="24"/>
        </w:rPr>
      </w:pPr>
    </w:p>
    <w:p w:rsidR="004E5207" w:rsidRPr="00D052F1" w:rsidRDefault="006C3531" w:rsidP="00D052F1">
      <w:pPr>
        <w:spacing w:line="256" w:lineRule="auto"/>
        <w:rPr>
          <w:sz w:val="24"/>
        </w:rPr>
      </w:pPr>
      <w:r>
        <w:rPr>
          <w:sz w:val="24"/>
        </w:rPr>
        <w:lastRenderedPageBreak/>
        <w:t xml:space="preserve">Detallamos algunos casos de ejemplo recopilados por el Monitor Ciudadano a continuación: </w:t>
      </w:r>
    </w:p>
    <w:p w:rsidR="00044E57" w:rsidRDefault="00254EA1" w:rsidP="00254EA1">
      <w:pPr>
        <w:jc w:val="both"/>
        <w:rPr>
          <w:b/>
          <w:sz w:val="24"/>
        </w:rPr>
      </w:pPr>
      <w:r w:rsidRPr="00254EA1">
        <w:rPr>
          <w:b/>
          <w:sz w:val="24"/>
        </w:rPr>
        <w:t xml:space="preserve">Casos de Nóminas paralelas con fines políticos </w:t>
      </w:r>
    </w:p>
    <w:p w:rsidR="00254EA1" w:rsidRPr="00254EA1" w:rsidRDefault="00991D3E" w:rsidP="00254EA1">
      <w:pPr>
        <w:jc w:val="both"/>
        <w:rPr>
          <w:sz w:val="24"/>
        </w:rPr>
      </w:pPr>
      <w:r w:rsidRPr="00991D3E">
        <w:rPr>
          <w:sz w:val="24"/>
        </w:rPr>
        <w:t>En junio de 2017 el S</w:t>
      </w:r>
      <w:r>
        <w:rPr>
          <w:sz w:val="24"/>
        </w:rPr>
        <w:t>ervicio Nacional de Aprendizaje- SENA</w:t>
      </w:r>
      <w:r w:rsidRPr="00991D3E">
        <w:rPr>
          <w:sz w:val="24"/>
        </w:rPr>
        <w:t xml:space="preserve"> tramitó más de 20.000 contratos por prestación de servicio, antes que comenzara la restricción de contratación directa por vigencia de la ley de garantías electorales. Muchos contratistas  no tendrían nada que ver con las funciones de la entidad u obedecían a una nómina paralela con fines electorales</w:t>
      </w:r>
      <w:r>
        <w:rPr>
          <w:sz w:val="24"/>
        </w:rPr>
        <w:t>. Por estas irregularidades se</w:t>
      </w:r>
      <w:r w:rsidRPr="00991D3E">
        <w:rPr>
          <w:sz w:val="24"/>
        </w:rPr>
        <w:t xml:space="preserve"> iniciaron investigaciones en las regionales de Antioquia, Caldas, Putumayo, Nariño, Santander, Norte de Santander, Cesar, Córdoba, Magdalena, Cundinamarca, Atlántico y Meta. En febrero de 2018 la Procuraduría General de la Nación ordenó que los convenios fueran congelados y que se procediera con la suspensión de los directores regionales comprometidos en los hechos. En febrero de 2018 sólo había sido capturado por el CTI Braulio Suarez, subdirector del Sena en el Bajo Cauca (Antioquia) por delitos relacionados con irregularidades en contratación. Iniciaron investigación disciplinaria contra Enrique Romero Contreras, secretario general encargado del Sena Santander, y se decretó la suspensión provisional por término de tres meses de Elkin Mauricio Ávila Osorio, subdirector del Centro de Comercio y Servicios y del Centro para la Formación Cafetera de la Regional Caldas, y Braulio Suárez Ortega, subdirector del Complejo Tecnológico para la Gestión Agroempresarial </w:t>
      </w:r>
      <w:r>
        <w:rPr>
          <w:sz w:val="24"/>
        </w:rPr>
        <w:t>en Caucasia, regional Antioquia</w:t>
      </w:r>
      <w:r w:rsidR="00254EA1" w:rsidRPr="00254EA1">
        <w:rPr>
          <w:sz w:val="24"/>
        </w:rPr>
        <w:t>.</w:t>
      </w:r>
      <w:r w:rsidR="00254EA1" w:rsidRPr="00254EA1">
        <w:rPr>
          <w:sz w:val="24"/>
          <w:vertAlign w:val="superscript"/>
        </w:rPr>
        <w:footnoteReference w:id="19"/>
      </w:r>
      <w:r w:rsidR="00254EA1" w:rsidRPr="00254EA1">
        <w:rPr>
          <w:sz w:val="24"/>
        </w:rPr>
        <w:t xml:space="preserve"> </w:t>
      </w:r>
    </w:p>
    <w:p w:rsidR="002F49EE" w:rsidRPr="006C3531" w:rsidRDefault="00991D3E" w:rsidP="00254EA1">
      <w:pPr>
        <w:jc w:val="both"/>
        <w:rPr>
          <w:b/>
          <w:sz w:val="24"/>
        </w:rPr>
      </w:pPr>
      <w:r w:rsidRPr="00991D3E">
        <w:rPr>
          <w:sz w:val="24"/>
        </w:rPr>
        <w:t>En 2015, Carlos Mario Álvarez, candidato a la alcaldía de Armenia, y quién posteriormente fue elegido para el periodo 2016-2019, se vio involucrado en hechos de corrupción por pagos irregulares. Los hechos se vinculan a un acuerdo entre el candidato y el esposo de Luz Piedad Valencia, exalcaldesa de Armenia entre 2012 y 2015,  en el que se garantizarían 6.000 millones para la campaña de Álvarez. La suma provenía de los contratos de las obras de valorización de la ciudad y el acuerdo se habría pactado con la firma de cuatro pagarés por parte de Álvarez Morales en agosto de 2015, dos meses antes de que  tuvieran lugar las elecci</w:t>
      </w:r>
      <w:r>
        <w:rPr>
          <w:sz w:val="24"/>
        </w:rPr>
        <w:t xml:space="preserve">ones a la Alcaldía de Armenia. </w:t>
      </w:r>
      <w:r w:rsidRPr="00991D3E">
        <w:rPr>
          <w:sz w:val="24"/>
        </w:rPr>
        <w:t>En 2018, el Juez Cuarto Penal Municipal de Armenia le ordenó medida de aseguramiento en centro carcelario. Al mandatario le fueron imputados los delitos de lavado de activos, peculado por apropiación, concierto para delinquir y celebración indebida de contratos</w:t>
      </w:r>
      <w:r w:rsidR="00254EA1" w:rsidRPr="006C3531">
        <w:rPr>
          <w:b/>
          <w:sz w:val="24"/>
        </w:rPr>
        <w:t>.</w:t>
      </w:r>
      <w:r w:rsidR="00254EA1" w:rsidRPr="006C3531">
        <w:rPr>
          <w:b/>
          <w:sz w:val="24"/>
          <w:vertAlign w:val="superscript"/>
        </w:rPr>
        <w:footnoteReference w:id="20"/>
      </w:r>
    </w:p>
    <w:p w:rsidR="006C3531" w:rsidRDefault="006C3531" w:rsidP="00254EA1">
      <w:pPr>
        <w:jc w:val="both"/>
        <w:rPr>
          <w:b/>
          <w:sz w:val="24"/>
        </w:rPr>
      </w:pPr>
      <w:r w:rsidRPr="006C3531">
        <w:rPr>
          <w:b/>
          <w:sz w:val="24"/>
        </w:rPr>
        <w:t xml:space="preserve">Caso de financiación de campañas con fuentes prohibidas </w:t>
      </w:r>
    </w:p>
    <w:p w:rsidR="001020B4" w:rsidRDefault="006C3531" w:rsidP="00254EA1">
      <w:pPr>
        <w:jc w:val="both"/>
        <w:rPr>
          <w:b/>
          <w:sz w:val="24"/>
        </w:rPr>
      </w:pPr>
      <w:r w:rsidRPr="006C3531">
        <w:rPr>
          <w:sz w:val="24"/>
        </w:rPr>
        <w:t xml:space="preserve">En 2003, durante las elecciones regionales en Barrancabermeja, el candidato Elkin David Bueno Altahona habría recibido apoyo por parte de grupos paramilitares en su campaña a la Alcaldía del puerto. Las investigaciones iniciadas por la Fiscalía General de la Nación comprobaron que el candidato y posteriormente alcalde de Barrancabermeja entre 2012 y </w:t>
      </w:r>
      <w:r w:rsidRPr="006C3531">
        <w:rPr>
          <w:sz w:val="24"/>
        </w:rPr>
        <w:lastRenderedPageBreak/>
        <w:t xml:space="preserve">2015 tuvo vínculos con el Bloque Central Bolívar de las Autodefensas, con quienes habría pactado apoyo militar, político y económico para respaldar su candidatura. </w:t>
      </w:r>
      <w:r w:rsidR="001D706A" w:rsidRPr="006C3531">
        <w:rPr>
          <w:sz w:val="24"/>
        </w:rPr>
        <w:t>Las</w:t>
      </w:r>
      <w:r w:rsidRPr="006C3531">
        <w:rPr>
          <w:sz w:val="24"/>
        </w:rPr>
        <w:t xml:space="preserve"> declaraciones en el marco del proceso de Justicia y Paz de un exjefe paramilitar demostraron los apoyos al candidato. Por su parte, Bueno Altahona desmintió las versiones </w:t>
      </w:r>
      <w:r w:rsidR="00CB58B4">
        <w:rPr>
          <w:sz w:val="24"/>
        </w:rPr>
        <w:t xml:space="preserve">argumentando que </w:t>
      </w:r>
      <w:r w:rsidRPr="006C3531">
        <w:rPr>
          <w:sz w:val="24"/>
        </w:rPr>
        <w:t xml:space="preserve">aquella candidatura del 2003 </w:t>
      </w:r>
      <w:r w:rsidR="00CB58B4">
        <w:rPr>
          <w:sz w:val="24"/>
        </w:rPr>
        <w:t xml:space="preserve">fue </w:t>
      </w:r>
      <w:r w:rsidRPr="006C3531">
        <w:rPr>
          <w:sz w:val="24"/>
        </w:rPr>
        <w:t xml:space="preserve">la única que ha perdido, después de haber ganado 3 contiendas como alcalde de Barrancabermeja. En </w:t>
      </w:r>
      <w:r w:rsidR="0045396C" w:rsidRPr="006C3531">
        <w:rPr>
          <w:sz w:val="24"/>
        </w:rPr>
        <w:t>abril</w:t>
      </w:r>
      <w:r w:rsidRPr="006C3531">
        <w:rPr>
          <w:sz w:val="24"/>
        </w:rPr>
        <w:t xml:space="preserve"> de 2016, la Fiscalía ordenó la captura del exalcalde.</w:t>
      </w:r>
    </w:p>
    <w:p w:rsidR="00254EA1" w:rsidRPr="00254EA1" w:rsidRDefault="006C3531" w:rsidP="00254EA1">
      <w:pPr>
        <w:jc w:val="both"/>
        <w:rPr>
          <w:b/>
          <w:sz w:val="24"/>
        </w:rPr>
      </w:pPr>
      <w:r>
        <w:rPr>
          <w:b/>
          <w:sz w:val="24"/>
        </w:rPr>
        <w:t>Caso</w:t>
      </w:r>
      <w:r w:rsidR="00254EA1" w:rsidRPr="00254EA1">
        <w:rPr>
          <w:b/>
          <w:sz w:val="24"/>
        </w:rPr>
        <w:t xml:space="preserve"> de presiones a funcionarios públicos y/o contratistas para votar a favor de candidatos </w:t>
      </w:r>
    </w:p>
    <w:p w:rsidR="00042091" w:rsidRDefault="00042091" w:rsidP="006C3531">
      <w:pPr>
        <w:jc w:val="both"/>
        <w:rPr>
          <w:sz w:val="24"/>
        </w:rPr>
      </w:pPr>
      <w:r w:rsidRPr="00042091">
        <w:rPr>
          <w:sz w:val="24"/>
        </w:rPr>
        <w:t>En el marco de las elecciones locales de 2015, Wilson Mora, gerente de la Terminal de Transportes de Bucaramanga, aspiraba al Concejo de la ciudad por el partido Liberal. Durante su campaña empezó a tomar decisiones cuestionables pues habría destinado bienes y funcionarios de la entidad para trabajar en su campaña, además de utilizar la entidad para obtener 1.500 líneas telefónicas que utilizó para hacer proselitismo político, vender minutos y comprar votos. Medios de comunicación de Santander revelaron audios que comprometían al aspirante a concejal con la adquisición de las líneas telefónicas y una deuda de 200 millones de pesos por las mismas. Adicionalmente, informes de auditoría externa a la Terminal revelaron que Mora usó por lo menos a 10 empleados para que trabajaran en su campaña pero seguían recibiendo su salario de la Terminal de Transportes; utilizó las tarjetas de crédito de la terminal para pagos personales de restaurantes, gasolina, hoteles y discotecas que no fueron autorizados por la junta directiva de la terminal. En 2017, el aspirante a concejal fue destituido del cargo que había ocupado durante 11 años.</w:t>
      </w:r>
    </w:p>
    <w:p w:rsidR="006C3531" w:rsidRPr="00254EA1" w:rsidRDefault="006C3531" w:rsidP="006C3531">
      <w:pPr>
        <w:jc w:val="both"/>
        <w:rPr>
          <w:b/>
          <w:sz w:val="24"/>
        </w:rPr>
      </w:pPr>
      <w:r>
        <w:rPr>
          <w:b/>
          <w:sz w:val="24"/>
        </w:rPr>
        <w:t xml:space="preserve">Caso </w:t>
      </w:r>
      <w:r w:rsidRPr="00254EA1">
        <w:rPr>
          <w:b/>
          <w:sz w:val="24"/>
        </w:rPr>
        <w:t xml:space="preserve">de obstrucción de procesos de revocatoria del mandato </w:t>
      </w:r>
    </w:p>
    <w:p w:rsidR="00912DA5" w:rsidRDefault="00912DA5" w:rsidP="006C3531">
      <w:pPr>
        <w:jc w:val="both"/>
        <w:rPr>
          <w:sz w:val="24"/>
        </w:rPr>
      </w:pPr>
      <w:r w:rsidRPr="00912DA5">
        <w:rPr>
          <w:sz w:val="24"/>
        </w:rPr>
        <w:t>El 2 de julio de 2017 se llevó a cabo la jornada de revocatoria del mandato de Darío Echeverry, alcalde de Barrancabermeja (2016-2019). La revocatoria no alcanzó el umbral requerido por lo cual se mantuvo en el cargo. No obstante, interceptaciones telefónicas realizadas por la Fiscalía General de la Nación, junto con denuncias de la Misión de Observación Electoral (MOE), revelaron que el alcalde desplegó toda una serie de estrategias que impidieran la asistencia a las urnas, como por ejemplo eventos deportivos, conci</w:t>
      </w:r>
      <w:r>
        <w:rPr>
          <w:sz w:val="24"/>
        </w:rPr>
        <w:t>ertos y celebraciones religiosa</w:t>
      </w:r>
      <w:r w:rsidRPr="00912DA5">
        <w:rPr>
          <w:sz w:val="24"/>
        </w:rPr>
        <w:t>s entre otros. El alcalde también se comunicó con congresistas en Bogotá para que intervinieran en el proceso de revocatoria. Por estos hechos Darío Echeverry fue capturado en mayo del 2018.</w:t>
      </w:r>
    </w:p>
    <w:p w:rsidR="006C3531" w:rsidRPr="00254EA1" w:rsidRDefault="006C3531" w:rsidP="006C3531">
      <w:pPr>
        <w:jc w:val="both"/>
        <w:rPr>
          <w:b/>
          <w:sz w:val="24"/>
        </w:rPr>
      </w:pPr>
      <w:r>
        <w:rPr>
          <w:b/>
          <w:sz w:val="24"/>
        </w:rPr>
        <w:t>Caso</w:t>
      </w:r>
      <w:r w:rsidRPr="00254EA1">
        <w:rPr>
          <w:b/>
          <w:sz w:val="24"/>
        </w:rPr>
        <w:t xml:space="preserve"> de inscripción de candidatos inhabilitados para ocupar cargos públicos</w:t>
      </w:r>
    </w:p>
    <w:p w:rsidR="00811C5F" w:rsidRPr="00E8725A" w:rsidRDefault="00912DA5" w:rsidP="004E5207">
      <w:pPr>
        <w:spacing w:after="200" w:line="276" w:lineRule="auto"/>
        <w:jc w:val="both"/>
      </w:pPr>
      <w:r w:rsidRPr="00912DA5">
        <w:rPr>
          <w:sz w:val="24"/>
        </w:rPr>
        <w:t xml:space="preserve">En octubre de 2015, los partidos Opción Ciudadana, La U, Liberal y Conservador inscribieron candidatos inhabilitados para distintas circunscripciones, especialmente en </w:t>
      </w:r>
      <w:r w:rsidRPr="00912DA5">
        <w:rPr>
          <w:sz w:val="24"/>
        </w:rPr>
        <w:lastRenderedPageBreak/>
        <w:t>los departamentos de Antioquia, Arauca, Cesar, Cundinamarca, Guaviare, Tolima, Valle, y San Andrés. El Consejo Nacional Electoral (CNE) afirmó que estos partidos no cumplieron con el deber de revisar cuidadosamente las hojas de vida de sus aspirantes. En septiembre de 2017 el CNE sancionó con suspensión del derecho a inscribir candidatos o listas en las próximas elecciones de 2019 en la circunscripción en la cual se cometieron las faltas. Opción Ciudadana no podrá inscribir candidatos para las asambleas de Antioquia, Cundinamarca, Guaviare y Meta. El partido La U fue sancionado para la inscripción en las asambleas de Cesar, Tolima y Valle. Los liberales no podrán lanzar candidatos para la asamblea de Arauca y los conservadores fueron inhabilitados para la asamblea de San Andrés, Providencia y Santa Catalina.</w:t>
      </w:r>
    </w:p>
    <w:p w:rsidR="00FC5B84" w:rsidRPr="005B75B4" w:rsidRDefault="00674D07" w:rsidP="00674D07">
      <w:pPr>
        <w:pStyle w:val="Ttulo2"/>
        <w:numPr>
          <w:ilvl w:val="0"/>
          <w:numId w:val="8"/>
        </w:numPr>
        <w:rPr>
          <w:b/>
          <w:color w:val="000000" w:themeColor="text1"/>
          <w:sz w:val="28"/>
          <w:szCs w:val="36"/>
        </w:rPr>
      </w:pPr>
      <w:bookmarkStart w:id="17" w:name="_Toc4077118"/>
      <w:bookmarkStart w:id="18" w:name="_Toc4077241"/>
      <w:r>
        <w:rPr>
          <w:b/>
          <w:color w:val="000000" w:themeColor="text1"/>
          <w:sz w:val="28"/>
          <w:szCs w:val="36"/>
        </w:rPr>
        <w:t>¿</w:t>
      </w:r>
      <w:r w:rsidR="00687649">
        <w:rPr>
          <w:b/>
          <w:color w:val="000000" w:themeColor="text1"/>
          <w:sz w:val="28"/>
          <w:szCs w:val="36"/>
        </w:rPr>
        <w:t xml:space="preserve">Cuáles son los </w:t>
      </w:r>
      <w:r w:rsidR="00B85F2B">
        <w:rPr>
          <w:b/>
          <w:color w:val="000000" w:themeColor="text1"/>
          <w:sz w:val="28"/>
          <w:szCs w:val="36"/>
        </w:rPr>
        <w:t>se</w:t>
      </w:r>
      <w:r w:rsidR="00FC5B84" w:rsidRPr="005B75B4">
        <w:rPr>
          <w:b/>
          <w:color w:val="000000" w:themeColor="text1"/>
          <w:sz w:val="28"/>
          <w:szCs w:val="36"/>
        </w:rPr>
        <w:t>ctores más afectados por la corrupción</w:t>
      </w:r>
      <w:r w:rsidR="00687649">
        <w:rPr>
          <w:b/>
          <w:color w:val="000000" w:themeColor="text1"/>
          <w:sz w:val="28"/>
          <w:szCs w:val="36"/>
        </w:rPr>
        <w:t>?</w:t>
      </w:r>
      <w:bookmarkEnd w:id="17"/>
      <w:bookmarkEnd w:id="18"/>
      <w:r w:rsidR="00FC5B84" w:rsidRPr="005B75B4">
        <w:rPr>
          <w:b/>
          <w:color w:val="000000" w:themeColor="text1"/>
          <w:sz w:val="28"/>
          <w:szCs w:val="36"/>
        </w:rPr>
        <w:t xml:space="preserve"> </w:t>
      </w:r>
      <w:bookmarkEnd w:id="16"/>
    </w:p>
    <w:p w:rsidR="00FC5B84" w:rsidRDefault="00FC5B84" w:rsidP="00FC5B84">
      <w:pPr>
        <w:spacing w:after="0" w:line="240" w:lineRule="auto"/>
        <w:jc w:val="both"/>
      </w:pPr>
    </w:p>
    <w:p w:rsidR="00B85F2B" w:rsidRPr="00263EEA" w:rsidRDefault="00F0333A" w:rsidP="00254EA1">
      <w:pPr>
        <w:spacing w:line="240" w:lineRule="auto"/>
        <w:jc w:val="both"/>
        <w:rPr>
          <w:b/>
        </w:rPr>
      </w:pPr>
      <w:r w:rsidRPr="00263EEA">
        <w:rPr>
          <w:b/>
          <w:i/>
          <w:sz w:val="24"/>
          <w:szCs w:val="24"/>
        </w:rPr>
        <w:t>Cerca</w:t>
      </w:r>
      <w:r w:rsidR="005564E7">
        <w:rPr>
          <w:b/>
          <w:i/>
          <w:sz w:val="24"/>
          <w:szCs w:val="24"/>
        </w:rPr>
        <w:t xml:space="preserve"> del 56</w:t>
      </w:r>
      <w:r w:rsidR="00B85F2B" w:rsidRPr="00263EEA">
        <w:rPr>
          <w:b/>
          <w:i/>
          <w:sz w:val="24"/>
          <w:szCs w:val="24"/>
        </w:rPr>
        <w:t>% del total de los hechos de corrupción analizados afectaron los sectores de Educación (16</w:t>
      </w:r>
      <w:r w:rsidR="00800DE8" w:rsidRPr="00263EEA">
        <w:rPr>
          <w:b/>
          <w:i/>
          <w:sz w:val="24"/>
          <w:szCs w:val="24"/>
        </w:rPr>
        <w:t>,2</w:t>
      </w:r>
      <w:r w:rsidR="00B85F2B" w:rsidRPr="00263EEA">
        <w:rPr>
          <w:b/>
          <w:i/>
          <w:sz w:val="24"/>
          <w:szCs w:val="24"/>
        </w:rPr>
        <w:t xml:space="preserve">%), </w:t>
      </w:r>
      <w:r w:rsidR="00263EEA">
        <w:rPr>
          <w:b/>
          <w:i/>
          <w:sz w:val="24"/>
          <w:szCs w:val="24"/>
        </w:rPr>
        <w:t xml:space="preserve">Infraestructura y Transporte (14,6%) </w:t>
      </w:r>
      <w:r w:rsidR="00B85F2B" w:rsidRPr="00263EEA">
        <w:rPr>
          <w:b/>
          <w:i/>
          <w:sz w:val="24"/>
          <w:szCs w:val="24"/>
        </w:rPr>
        <w:t>Salud (1</w:t>
      </w:r>
      <w:r w:rsidR="00800DE8" w:rsidRPr="00263EEA">
        <w:rPr>
          <w:b/>
          <w:i/>
          <w:sz w:val="24"/>
          <w:szCs w:val="24"/>
        </w:rPr>
        <w:t>3,</w:t>
      </w:r>
      <w:r w:rsidR="00263EEA">
        <w:rPr>
          <w:b/>
          <w:i/>
          <w:sz w:val="24"/>
          <w:szCs w:val="24"/>
        </w:rPr>
        <w:t>4</w:t>
      </w:r>
      <w:r w:rsidR="00B85F2B" w:rsidRPr="00263EEA">
        <w:rPr>
          <w:b/>
          <w:i/>
          <w:sz w:val="24"/>
          <w:szCs w:val="24"/>
        </w:rPr>
        <w:t>%)</w:t>
      </w:r>
      <w:r w:rsidR="00263EEA">
        <w:rPr>
          <w:b/>
          <w:i/>
          <w:sz w:val="24"/>
          <w:szCs w:val="24"/>
        </w:rPr>
        <w:t xml:space="preserve"> y </w:t>
      </w:r>
      <w:r w:rsidR="00800DE8" w:rsidRPr="00263EEA">
        <w:rPr>
          <w:b/>
          <w:i/>
          <w:sz w:val="24"/>
          <w:szCs w:val="24"/>
        </w:rPr>
        <w:t>Función Pública (11,6%)</w:t>
      </w:r>
      <w:r w:rsidR="000274BE">
        <w:rPr>
          <w:b/>
          <w:i/>
          <w:sz w:val="24"/>
          <w:szCs w:val="24"/>
        </w:rPr>
        <w:t>.</w:t>
      </w:r>
      <w:r w:rsidR="00800DE8" w:rsidRPr="00263EEA">
        <w:rPr>
          <w:b/>
          <w:i/>
          <w:sz w:val="24"/>
          <w:szCs w:val="24"/>
        </w:rPr>
        <w:t xml:space="preserve"> </w:t>
      </w:r>
      <w:r w:rsidR="00B85F2B" w:rsidRPr="00263EEA">
        <w:rPr>
          <w:b/>
          <w:i/>
          <w:sz w:val="24"/>
          <w:szCs w:val="24"/>
        </w:rPr>
        <w:t>Est</w:t>
      </w:r>
      <w:r w:rsidR="00210CA9" w:rsidRPr="00263EEA">
        <w:rPr>
          <w:b/>
          <w:i/>
          <w:sz w:val="24"/>
          <w:szCs w:val="24"/>
        </w:rPr>
        <w:t xml:space="preserve">a situación coincide con los </w:t>
      </w:r>
      <w:r w:rsidR="00B85F2B" w:rsidRPr="00263EEA">
        <w:rPr>
          <w:b/>
          <w:i/>
          <w:sz w:val="24"/>
          <w:szCs w:val="24"/>
        </w:rPr>
        <w:t xml:space="preserve">sectores </w:t>
      </w:r>
      <w:r w:rsidR="00386AAE" w:rsidRPr="00263EEA">
        <w:rPr>
          <w:b/>
          <w:i/>
          <w:sz w:val="24"/>
          <w:szCs w:val="24"/>
        </w:rPr>
        <w:t xml:space="preserve">mayormente afectados </w:t>
      </w:r>
      <w:r w:rsidR="00B85F2B" w:rsidRPr="00263EEA">
        <w:rPr>
          <w:b/>
          <w:i/>
          <w:sz w:val="24"/>
          <w:szCs w:val="24"/>
        </w:rPr>
        <w:t>en el primer i</w:t>
      </w:r>
      <w:r w:rsidR="00386AAE" w:rsidRPr="00263EEA">
        <w:rPr>
          <w:b/>
          <w:i/>
          <w:sz w:val="24"/>
          <w:szCs w:val="24"/>
        </w:rPr>
        <w:t>nforme sobre hechos de Corrupción en Territorios de P</w:t>
      </w:r>
      <w:r w:rsidR="00B85F2B" w:rsidRPr="00263EEA">
        <w:rPr>
          <w:b/>
          <w:i/>
          <w:sz w:val="24"/>
          <w:szCs w:val="24"/>
        </w:rPr>
        <w:t xml:space="preserve">az </w:t>
      </w:r>
      <w:r w:rsidR="002E5CAE" w:rsidRPr="00263EEA">
        <w:rPr>
          <w:b/>
          <w:i/>
          <w:sz w:val="24"/>
          <w:szCs w:val="24"/>
        </w:rPr>
        <w:t>(2010-2016)</w:t>
      </w:r>
      <w:r w:rsidR="000274BE">
        <w:rPr>
          <w:b/>
          <w:i/>
          <w:sz w:val="24"/>
          <w:szCs w:val="24"/>
        </w:rPr>
        <w:t>.</w:t>
      </w:r>
      <w:r w:rsidR="002E5CAE" w:rsidRPr="00263EEA">
        <w:rPr>
          <w:b/>
          <w:i/>
          <w:sz w:val="24"/>
          <w:szCs w:val="24"/>
        </w:rPr>
        <w:t xml:space="preserve"> </w:t>
      </w:r>
    </w:p>
    <w:p w:rsidR="00146FEC" w:rsidRDefault="00EB5202" w:rsidP="00254EA1">
      <w:pPr>
        <w:spacing w:after="0" w:line="240" w:lineRule="auto"/>
        <w:jc w:val="both"/>
        <w:rPr>
          <w:sz w:val="24"/>
          <w:szCs w:val="24"/>
        </w:rPr>
      </w:pPr>
      <w:r>
        <w:rPr>
          <w:sz w:val="24"/>
          <w:szCs w:val="24"/>
        </w:rPr>
        <w:t xml:space="preserve">Donde están los recursos económicos, están los intereses de los corruptos. Eso ya es conocido. La cuestión es </w:t>
      </w:r>
      <w:r w:rsidR="0045396C">
        <w:rPr>
          <w:sz w:val="24"/>
          <w:szCs w:val="24"/>
        </w:rPr>
        <w:t>que abusan</w:t>
      </w:r>
      <w:r>
        <w:rPr>
          <w:sz w:val="24"/>
          <w:szCs w:val="24"/>
        </w:rPr>
        <w:t xml:space="preserve"> del erario</w:t>
      </w:r>
      <w:r w:rsidR="000274BE">
        <w:rPr>
          <w:sz w:val="24"/>
          <w:szCs w:val="24"/>
        </w:rPr>
        <w:t xml:space="preserve"> público</w:t>
      </w:r>
      <w:r>
        <w:rPr>
          <w:sz w:val="24"/>
          <w:szCs w:val="24"/>
        </w:rPr>
        <w:t xml:space="preserve"> </w:t>
      </w:r>
      <w:r w:rsidR="000274BE">
        <w:rPr>
          <w:sz w:val="24"/>
          <w:szCs w:val="24"/>
        </w:rPr>
        <w:t xml:space="preserve">y </w:t>
      </w:r>
      <w:r>
        <w:rPr>
          <w:sz w:val="24"/>
          <w:szCs w:val="24"/>
        </w:rPr>
        <w:t>de la ciudadanía y sus derechos, al tiempo que arrastran en su egoísmo el poder y la legitimidad de las instituciones estatales.</w:t>
      </w:r>
      <w:r w:rsidR="00371CAE">
        <w:rPr>
          <w:sz w:val="24"/>
          <w:szCs w:val="24"/>
        </w:rPr>
        <w:t xml:space="preserve"> Se conjugan en estas acciones: el efectivo accionar de los corruptos con la baja capacidad de la administración pública para contener los excesos de discrecionalidad de las autoridades, administrar de manera efectiva los controles y garantizar la rendición de cuentas. </w:t>
      </w:r>
    </w:p>
    <w:p w:rsidR="001020B4" w:rsidRDefault="001020B4" w:rsidP="001020B4">
      <w:pPr>
        <w:pStyle w:val="Epgrafe"/>
        <w:keepNext/>
        <w:rPr>
          <w:bCs w:val="0"/>
          <w:smallCaps w:val="0"/>
          <w:color w:val="auto"/>
        </w:rPr>
      </w:pPr>
    </w:p>
    <w:p w:rsidR="00386AAE" w:rsidRPr="00795D07" w:rsidRDefault="004158E6" w:rsidP="001020B4">
      <w:pPr>
        <w:pStyle w:val="Epgrafe"/>
        <w:keepNext/>
        <w:jc w:val="center"/>
        <w:rPr>
          <w:bCs w:val="0"/>
          <w:smallCaps w:val="0"/>
          <w:color w:val="auto"/>
          <w:sz w:val="24"/>
          <w:szCs w:val="24"/>
        </w:rPr>
      </w:pPr>
      <w:r>
        <w:rPr>
          <w:bCs w:val="0"/>
          <w:smallCaps w:val="0"/>
          <w:color w:val="auto"/>
          <w:sz w:val="24"/>
          <w:szCs w:val="24"/>
        </w:rPr>
        <w:t>Gráfica # 6</w:t>
      </w:r>
      <w:r w:rsidR="006A7A49" w:rsidRPr="00467DCC">
        <w:rPr>
          <w:bCs w:val="0"/>
          <w:smallCaps w:val="0"/>
          <w:color w:val="auto"/>
          <w:sz w:val="24"/>
          <w:szCs w:val="24"/>
        </w:rPr>
        <w:t xml:space="preserve"> –</w:t>
      </w:r>
      <w:r w:rsidR="00263EEA">
        <w:rPr>
          <w:bCs w:val="0"/>
          <w:smallCaps w:val="0"/>
          <w:color w:val="auto"/>
          <w:sz w:val="24"/>
          <w:szCs w:val="24"/>
        </w:rPr>
        <w:t xml:space="preserve">Porcentaje </w:t>
      </w:r>
      <w:r w:rsidR="00356002">
        <w:rPr>
          <w:bCs w:val="0"/>
          <w:smallCaps w:val="0"/>
          <w:color w:val="auto"/>
          <w:sz w:val="24"/>
          <w:szCs w:val="24"/>
        </w:rPr>
        <w:t xml:space="preserve">de </w:t>
      </w:r>
      <w:r w:rsidR="006A7A49" w:rsidRPr="00467DCC">
        <w:rPr>
          <w:bCs w:val="0"/>
          <w:smallCaps w:val="0"/>
          <w:color w:val="auto"/>
          <w:sz w:val="24"/>
          <w:szCs w:val="24"/>
        </w:rPr>
        <w:t xml:space="preserve">hechos de corrupción </w:t>
      </w:r>
      <w:r w:rsidR="00356002">
        <w:rPr>
          <w:bCs w:val="0"/>
          <w:smallCaps w:val="0"/>
          <w:color w:val="auto"/>
          <w:sz w:val="24"/>
          <w:szCs w:val="24"/>
        </w:rPr>
        <w:t>registrados en</w:t>
      </w:r>
      <w:r w:rsidR="00263EEA">
        <w:rPr>
          <w:bCs w:val="0"/>
          <w:smallCaps w:val="0"/>
          <w:color w:val="auto"/>
          <w:sz w:val="24"/>
          <w:szCs w:val="24"/>
        </w:rPr>
        <w:t xml:space="preserve"> la prensa </w:t>
      </w:r>
      <w:r w:rsidR="00D052F1">
        <w:rPr>
          <w:bCs w:val="0"/>
          <w:smallCaps w:val="0"/>
          <w:color w:val="auto"/>
          <w:sz w:val="24"/>
          <w:szCs w:val="24"/>
        </w:rPr>
        <w:t>por los diez</w:t>
      </w:r>
      <w:r w:rsidR="00356002">
        <w:rPr>
          <w:bCs w:val="0"/>
          <w:smallCaps w:val="0"/>
          <w:color w:val="auto"/>
          <w:sz w:val="24"/>
          <w:szCs w:val="24"/>
        </w:rPr>
        <w:t xml:space="preserve"> sectores más </w:t>
      </w:r>
      <w:r w:rsidR="00356002" w:rsidRPr="00467DCC">
        <w:rPr>
          <w:bCs w:val="0"/>
          <w:smallCaps w:val="0"/>
          <w:color w:val="auto"/>
          <w:sz w:val="24"/>
          <w:szCs w:val="24"/>
        </w:rPr>
        <w:t>afectados</w:t>
      </w:r>
    </w:p>
    <w:p w:rsidR="00A160C7" w:rsidRPr="00B85F2B" w:rsidRDefault="00E50C57" w:rsidP="00356002">
      <w:pPr>
        <w:spacing w:line="240" w:lineRule="auto"/>
        <w:jc w:val="center"/>
      </w:pPr>
      <w:r w:rsidRPr="00E50C57">
        <w:rPr>
          <w:noProof/>
          <w:lang w:eastAsia="es-CO"/>
        </w:rPr>
        <w:drawing>
          <wp:inline distT="0" distB="0" distL="0" distR="0">
            <wp:extent cx="5848350" cy="3638550"/>
            <wp:effectExtent l="19050" t="0" r="19050" b="0"/>
            <wp:docPr id="16"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020B4" w:rsidRPr="004E5207" w:rsidRDefault="00666D4D" w:rsidP="004E5207">
      <w:pPr>
        <w:spacing w:line="240" w:lineRule="auto"/>
        <w:jc w:val="center"/>
        <w:rPr>
          <w:sz w:val="20"/>
          <w:szCs w:val="24"/>
        </w:rPr>
      </w:pPr>
      <w:r w:rsidRPr="00666D4D">
        <w:rPr>
          <w:sz w:val="20"/>
          <w:szCs w:val="24"/>
        </w:rPr>
        <w:t xml:space="preserve">Fuente: </w:t>
      </w:r>
      <w:r w:rsidR="00263EEA">
        <w:rPr>
          <w:sz w:val="20"/>
          <w:szCs w:val="24"/>
        </w:rPr>
        <w:t xml:space="preserve">Informe </w:t>
      </w:r>
      <w:r w:rsidRPr="00666D4D">
        <w:rPr>
          <w:sz w:val="20"/>
          <w:szCs w:val="24"/>
        </w:rPr>
        <w:t xml:space="preserve">Monitor Ciudadano </w:t>
      </w:r>
      <w:r w:rsidR="00263EEA">
        <w:rPr>
          <w:sz w:val="20"/>
          <w:szCs w:val="24"/>
        </w:rPr>
        <w:t xml:space="preserve">(2016-2018) </w:t>
      </w:r>
    </w:p>
    <w:p w:rsidR="00B74019" w:rsidRDefault="006662CB" w:rsidP="0054266E">
      <w:pPr>
        <w:spacing w:line="240" w:lineRule="auto"/>
        <w:jc w:val="both"/>
        <w:rPr>
          <w:sz w:val="24"/>
          <w:szCs w:val="24"/>
        </w:rPr>
      </w:pPr>
      <w:r w:rsidRPr="006662CB">
        <w:rPr>
          <w:b/>
          <w:sz w:val="24"/>
          <w:szCs w:val="24"/>
        </w:rPr>
        <w:t>Educación,</w:t>
      </w:r>
      <w:r w:rsidR="00A160C7">
        <w:rPr>
          <w:b/>
          <w:sz w:val="24"/>
          <w:szCs w:val="24"/>
        </w:rPr>
        <w:t xml:space="preserve"> Infraestructura </w:t>
      </w:r>
      <w:r w:rsidR="00044E57">
        <w:rPr>
          <w:b/>
          <w:sz w:val="24"/>
          <w:szCs w:val="24"/>
        </w:rPr>
        <w:t xml:space="preserve">y </w:t>
      </w:r>
      <w:r w:rsidR="00044E57" w:rsidRPr="006662CB">
        <w:rPr>
          <w:b/>
          <w:sz w:val="24"/>
          <w:szCs w:val="24"/>
        </w:rPr>
        <w:t>Salud entre</w:t>
      </w:r>
      <w:r w:rsidRPr="006662CB">
        <w:rPr>
          <w:b/>
          <w:sz w:val="24"/>
          <w:szCs w:val="24"/>
        </w:rPr>
        <w:t xml:space="preserve"> los sectores más afectados por la corrupción</w:t>
      </w:r>
      <w:r w:rsidR="00B74019">
        <w:rPr>
          <w:sz w:val="24"/>
          <w:szCs w:val="24"/>
        </w:rPr>
        <w:t xml:space="preserve">. </w:t>
      </w:r>
    </w:p>
    <w:p w:rsidR="00044E57" w:rsidRDefault="001D706A">
      <w:pPr>
        <w:spacing w:line="240" w:lineRule="auto"/>
        <w:jc w:val="both"/>
        <w:rPr>
          <w:sz w:val="24"/>
          <w:szCs w:val="24"/>
        </w:rPr>
      </w:pPr>
      <w:r>
        <w:rPr>
          <w:sz w:val="24"/>
          <w:szCs w:val="24"/>
        </w:rPr>
        <w:t xml:space="preserve">Con base a </w:t>
      </w:r>
      <w:r w:rsidR="0054266E">
        <w:rPr>
          <w:sz w:val="24"/>
          <w:szCs w:val="24"/>
        </w:rPr>
        <w:t xml:space="preserve">la </w:t>
      </w:r>
      <w:r>
        <w:rPr>
          <w:sz w:val="24"/>
          <w:szCs w:val="24"/>
        </w:rPr>
        <w:t xml:space="preserve">tipología </w:t>
      </w:r>
      <w:r w:rsidR="0054266E">
        <w:rPr>
          <w:sz w:val="24"/>
          <w:szCs w:val="24"/>
        </w:rPr>
        <w:t xml:space="preserve">de sectores que realiza el </w:t>
      </w:r>
      <w:r w:rsidR="00666D4D">
        <w:rPr>
          <w:sz w:val="24"/>
          <w:szCs w:val="24"/>
        </w:rPr>
        <w:t>Departamento Administrativo de la Función Pública-DAFP</w:t>
      </w:r>
      <w:r w:rsidR="00163B98">
        <w:rPr>
          <w:rStyle w:val="Refdenotaalpie"/>
          <w:sz w:val="24"/>
          <w:szCs w:val="24"/>
        </w:rPr>
        <w:footnoteReference w:id="21"/>
      </w:r>
      <w:r w:rsidR="0054266E">
        <w:rPr>
          <w:sz w:val="24"/>
          <w:szCs w:val="24"/>
        </w:rPr>
        <w:t xml:space="preserve">, </w:t>
      </w:r>
      <w:r w:rsidR="0080317E">
        <w:rPr>
          <w:sz w:val="24"/>
          <w:szCs w:val="24"/>
        </w:rPr>
        <w:t xml:space="preserve">como se evidencia en la anterior </w:t>
      </w:r>
      <w:r w:rsidR="00E24789">
        <w:rPr>
          <w:sz w:val="24"/>
          <w:szCs w:val="24"/>
        </w:rPr>
        <w:t>gráfica,</w:t>
      </w:r>
      <w:r w:rsidR="00356002">
        <w:rPr>
          <w:sz w:val="24"/>
          <w:szCs w:val="24"/>
        </w:rPr>
        <w:t xml:space="preserve"> </w:t>
      </w:r>
      <w:r w:rsidR="009B694F">
        <w:rPr>
          <w:sz w:val="24"/>
          <w:szCs w:val="24"/>
        </w:rPr>
        <w:t>e</w:t>
      </w:r>
      <w:r w:rsidR="009B694F" w:rsidRPr="00CD7AEE">
        <w:rPr>
          <w:sz w:val="24"/>
          <w:szCs w:val="24"/>
        </w:rPr>
        <w:t>l</w:t>
      </w:r>
      <w:r w:rsidR="00044E57">
        <w:rPr>
          <w:sz w:val="24"/>
          <w:szCs w:val="24"/>
        </w:rPr>
        <w:t xml:space="preserve"> 56</w:t>
      </w:r>
      <w:r w:rsidR="00FC5B84" w:rsidRPr="00CD7AEE">
        <w:rPr>
          <w:sz w:val="24"/>
          <w:szCs w:val="24"/>
        </w:rPr>
        <w:t xml:space="preserve">% de los hechos de corrupción registrados </w:t>
      </w:r>
      <w:r w:rsidR="00CD7AEE">
        <w:rPr>
          <w:sz w:val="24"/>
          <w:szCs w:val="24"/>
        </w:rPr>
        <w:t xml:space="preserve">por </w:t>
      </w:r>
      <w:r w:rsidR="005564E7">
        <w:rPr>
          <w:sz w:val="24"/>
          <w:szCs w:val="24"/>
        </w:rPr>
        <w:t xml:space="preserve">los medios de comunicación </w:t>
      </w:r>
      <w:r w:rsidR="00CD7AEE" w:rsidRPr="00CD7AEE">
        <w:rPr>
          <w:sz w:val="24"/>
          <w:szCs w:val="24"/>
        </w:rPr>
        <w:t xml:space="preserve">afectaron los </w:t>
      </w:r>
      <w:r w:rsidR="00356002">
        <w:rPr>
          <w:sz w:val="24"/>
          <w:szCs w:val="24"/>
        </w:rPr>
        <w:t>sectores de E</w:t>
      </w:r>
      <w:r w:rsidR="007A4722">
        <w:rPr>
          <w:sz w:val="24"/>
          <w:szCs w:val="24"/>
        </w:rPr>
        <w:t xml:space="preserve">ducación, </w:t>
      </w:r>
      <w:r w:rsidR="00356002">
        <w:rPr>
          <w:sz w:val="24"/>
          <w:szCs w:val="24"/>
        </w:rPr>
        <w:t>I</w:t>
      </w:r>
      <w:r w:rsidR="00FC5B84" w:rsidRPr="00CD7AEE">
        <w:rPr>
          <w:sz w:val="24"/>
          <w:szCs w:val="24"/>
        </w:rPr>
        <w:t>nfraestructura</w:t>
      </w:r>
      <w:r w:rsidR="00356002">
        <w:rPr>
          <w:sz w:val="24"/>
          <w:szCs w:val="24"/>
        </w:rPr>
        <w:t xml:space="preserve"> y Transporte, S</w:t>
      </w:r>
      <w:r w:rsidR="005564E7">
        <w:rPr>
          <w:sz w:val="24"/>
          <w:szCs w:val="24"/>
        </w:rPr>
        <w:t>alud</w:t>
      </w:r>
      <w:r w:rsidR="0054266E">
        <w:rPr>
          <w:sz w:val="24"/>
          <w:szCs w:val="24"/>
        </w:rPr>
        <w:t xml:space="preserve"> y</w:t>
      </w:r>
      <w:r w:rsidR="00356002">
        <w:rPr>
          <w:sz w:val="24"/>
          <w:szCs w:val="24"/>
        </w:rPr>
        <w:t xml:space="preserve"> F</w:t>
      </w:r>
      <w:r w:rsidR="00CD7AEE" w:rsidRPr="00CD7AEE">
        <w:rPr>
          <w:sz w:val="24"/>
          <w:szCs w:val="24"/>
        </w:rPr>
        <w:t>unción pública</w:t>
      </w:r>
      <w:r w:rsidR="0080317E">
        <w:rPr>
          <w:sz w:val="24"/>
          <w:szCs w:val="24"/>
        </w:rPr>
        <w:t xml:space="preserve">. </w:t>
      </w:r>
    </w:p>
    <w:p w:rsidR="005564E7" w:rsidRDefault="005564E7">
      <w:pPr>
        <w:spacing w:line="240" w:lineRule="auto"/>
        <w:jc w:val="both"/>
        <w:rPr>
          <w:sz w:val="24"/>
          <w:szCs w:val="24"/>
        </w:rPr>
      </w:pPr>
      <w:r>
        <w:rPr>
          <w:sz w:val="24"/>
          <w:szCs w:val="24"/>
        </w:rPr>
        <w:t>Ahora bien, comparando</w:t>
      </w:r>
      <w:r w:rsidR="00376E70">
        <w:rPr>
          <w:sz w:val="24"/>
          <w:szCs w:val="24"/>
        </w:rPr>
        <w:t xml:space="preserve"> estos datos con cifras de </w:t>
      </w:r>
      <w:r>
        <w:rPr>
          <w:sz w:val="24"/>
          <w:szCs w:val="24"/>
        </w:rPr>
        <w:t xml:space="preserve">los presupuestos generales de la Nación entre 2016 y 2018- años </w:t>
      </w:r>
      <w:r w:rsidR="00376E70">
        <w:rPr>
          <w:sz w:val="24"/>
          <w:szCs w:val="24"/>
        </w:rPr>
        <w:t xml:space="preserve">definidos </w:t>
      </w:r>
      <w:r>
        <w:rPr>
          <w:sz w:val="24"/>
          <w:szCs w:val="24"/>
        </w:rPr>
        <w:t>para identificar los hechos de corrupción-se evidencia que fueron Salud y Educación los sectores donde más se invirti</w:t>
      </w:r>
      <w:r w:rsidR="00376E70">
        <w:rPr>
          <w:sz w:val="24"/>
          <w:szCs w:val="24"/>
        </w:rPr>
        <w:t>eron</w:t>
      </w:r>
      <w:r>
        <w:rPr>
          <w:sz w:val="24"/>
          <w:szCs w:val="24"/>
        </w:rPr>
        <w:t xml:space="preserve"> </w:t>
      </w:r>
      <w:r w:rsidR="00376E70">
        <w:rPr>
          <w:sz w:val="24"/>
          <w:szCs w:val="24"/>
        </w:rPr>
        <w:t xml:space="preserve">recursos. </w:t>
      </w:r>
      <w:r>
        <w:rPr>
          <w:sz w:val="24"/>
          <w:szCs w:val="24"/>
        </w:rPr>
        <w:t>En salud</w:t>
      </w:r>
      <w:r w:rsidR="0018690F">
        <w:rPr>
          <w:sz w:val="24"/>
          <w:szCs w:val="24"/>
        </w:rPr>
        <w:t xml:space="preserve"> el compromiso de presupuesto destinado fue de más de 37 billones</w:t>
      </w:r>
      <w:r>
        <w:rPr>
          <w:sz w:val="24"/>
          <w:szCs w:val="24"/>
        </w:rPr>
        <w:t xml:space="preserve"> de peso</w:t>
      </w:r>
      <w:r w:rsidR="0018690F">
        <w:rPr>
          <w:sz w:val="24"/>
          <w:szCs w:val="24"/>
        </w:rPr>
        <w:t>s y en 2018 el rubro aumentó a 48.5 b</w:t>
      </w:r>
      <w:r>
        <w:rPr>
          <w:sz w:val="24"/>
          <w:szCs w:val="24"/>
        </w:rPr>
        <w:t xml:space="preserve">illones de pesos. En promedio, </w:t>
      </w:r>
      <w:r w:rsidRPr="0080317E">
        <w:rPr>
          <w:b/>
          <w:sz w:val="24"/>
          <w:szCs w:val="24"/>
        </w:rPr>
        <w:t>el 25% del pre</w:t>
      </w:r>
      <w:r w:rsidR="0018690F">
        <w:rPr>
          <w:b/>
          <w:sz w:val="24"/>
          <w:szCs w:val="24"/>
        </w:rPr>
        <w:t>supuesto de la Nación se destinó</w:t>
      </w:r>
      <w:r w:rsidRPr="0080317E">
        <w:rPr>
          <w:b/>
          <w:sz w:val="24"/>
          <w:szCs w:val="24"/>
        </w:rPr>
        <w:t xml:space="preserve"> al sector Salud</w:t>
      </w:r>
      <w:r>
        <w:rPr>
          <w:sz w:val="24"/>
          <w:szCs w:val="24"/>
        </w:rPr>
        <w:t>. Para el caso del sector Educació</w:t>
      </w:r>
      <w:r w:rsidR="0018690F">
        <w:rPr>
          <w:sz w:val="24"/>
          <w:szCs w:val="24"/>
        </w:rPr>
        <w:t>n, en 2016 se comprometieron a destinar 31.3 b</w:t>
      </w:r>
      <w:r>
        <w:rPr>
          <w:sz w:val="24"/>
          <w:szCs w:val="24"/>
        </w:rPr>
        <w:t>illones de pes</w:t>
      </w:r>
      <w:r w:rsidR="0018690F">
        <w:rPr>
          <w:sz w:val="24"/>
          <w:szCs w:val="24"/>
        </w:rPr>
        <w:t xml:space="preserve">os y este monto pasó en 2018 a 38.2 </w:t>
      </w:r>
      <w:r w:rsidR="0018690F">
        <w:rPr>
          <w:sz w:val="24"/>
          <w:szCs w:val="24"/>
        </w:rPr>
        <w:lastRenderedPageBreak/>
        <w:t>b</w:t>
      </w:r>
      <w:r w:rsidR="00376E70">
        <w:rPr>
          <w:sz w:val="24"/>
          <w:szCs w:val="24"/>
        </w:rPr>
        <w:t xml:space="preserve">illones de pesos. </w:t>
      </w:r>
      <w:r w:rsidRPr="0080317E">
        <w:rPr>
          <w:b/>
          <w:sz w:val="24"/>
          <w:szCs w:val="24"/>
        </w:rPr>
        <w:t xml:space="preserve">En promedio, el </w:t>
      </w:r>
      <w:r w:rsidR="00376E70" w:rsidRPr="0080317E">
        <w:rPr>
          <w:b/>
          <w:sz w:val="24"/>
          <w:szCs w:val="24"/>
        </w:rPr>
        <w:t>20% del presupuesto de la Na</w:t>
      </w:r>
      <w:r w:rsidR="0018690F">
        <w:rPr>
          <w:b/>
          <w:sz w:val="24"/>
          <w:szCs w:val="24"/>
        </w:rPr>
        <w:t>ción se destinó</w:t>
      </w:r>
      <w:r w:rsidR="00376E70" w:rsidRPr="0080317E">
        <w:rPr>
          <w:b/>
          <w:sz w:val="24"/>
          <w:szCs w:val="24"/>
        </w:rPr>
        <w:t xml:space="preserve"> a este sector</w:t>
      </w:r>
      <w:r w:rsidR="00376E70">
        <w:rPr>
          <w:sz w:val="24"/>
          <w:szCs w:val="24"/>
        </w:rPr>
        <w:t>.</w:t>
      </w:r>
      <w:r w:rsidR="0080317E">
        <w:rPr>
          <w:rStyle w:val="Refdenotaalpie"/>
          <w:sz w:val="24"/>
          <w:szCs w:val="24"/>
        </w:rPr>
        <w:footnoteReference w:id="22"/>
      </w:r>
      <w:r w:rsidR="00376E70">
        <w:rPr>
          <w:sz w:val="24"/>
          <w:szCs w:val="24"/>
        </w:rPr>
        <w:t xml:space="preserve"> </w:t>
      </w:r>
    </w:p>
    <w:p w:rsidR="00A8179F" w:rsidRDefault="0080317E">
      <w:pPr>
        <w:spacing w:line="240" w:lineRule="auto"/>
        <w:jc w:val="both"/>
        <w:rPr>
          <w:sz w:val="24"/>
          <w:szCs w:val="24"/>
        </w:rPr>
      </w:pPr>
      <w:r>
        <w:rPr>
          <w:sz w:val="24"/>
          <w:szCs w:val="24"/>
        </w:rPr>
        <w:t>Adicionalmente, d</w:t>
      </w:r>
      <w:r w:rsidR="00376E70">
        <w:rPr>
          <w:sz w:val="24"/>
          <w:szCs w:val="24"/>
        </w:rPr>
        <w:t>urante el proceso de categorización de los hechos de corrupción, el Monitor Ciudadano realizó una aproximación</w:t>
      </w:r>
      <w:r>
        <w:rPr>
          <w:sz w:val="24"/>
          <w:szCs w:val="24"/>
        </w:rPr>
        <w:t xml:space="preserve"> para obtener datos de </w:t>
      </w:r>
      <w:r w:rsidRPr="003906EA">
        <w:rPr>
          <w:sz w:val="24"/>
          <w:szCs w:val="24"/>
        </w:rPr>
        <w:t>cuánto dinero</w:t>
      </w:r>
      <w:r w:rsidR="00D1073A">
        <w:rPr>
          <w:sz w:val="24"/>
          <w:szCs w:val="24"/>
        </w:rPr>
        <w:t xml:space="preserve"> en juego existió</w:t>
      </w:r>
      <w:r>
        <w:rPr>
          <w:sz w:val="24"/>
          <w:szCs w:val="24"/>
        </w:rPr>
        <w:t xml:space="preserve"> por las prácticas corruptas en estos dos años.</w:t>
      </w:r>
      <w:r w:rsidR="00B94042" w:rsidRPr="00B94042">
        <w:rPr>
          <w:sz w:val="24"/>
          <w:szCs w:val="24"/>
        </w:rPr>
        <w:t xml:space="preserve"> Es importante poner de presente que la información de la prensa sobre los hechos de corrupción </w:t>
      </w:r>
      <w:r w:rsidR="00D1073A">
        <w:rPr>
          <w:sz w:val="24"/>
          <w:szCs w:val="24"/>
        </w:rPr>
        <w:t xml:space="preserve">no </w:t>
      </w:r>
      <w:r w:rsidR="00B94042" w:rsidRPr="00B94042">
        <w:rPr>
          <w:sz w:val="24"/>
          <w:szCs w:val="24"/>
        </w:rPr>
        <w:t xml:space="preserve">exponía en </w:t>
      </w:r>
      <w:r w:rsidR="00D1073A">
        <w:rPr>
          <w:sz w:val="24"/>
          <w:szCs w:val="24"/>
        </w:rPr>
        <w:t xml:space="preserve">todos los casos el </w:t>
      </w:r>
      <w:r w:rsidR="00B94042" w:rsidRPr="00B94042">
        <w:rPr>
          <w:sz w:val="24"/>
          <w:szCs w:val="24"/>
        </w:rPr>
        <w:t xml:space="preserve">detalle </w:t>
      </w:r>
      <w:r w:rsidR="00D1073A">
        <w:rPr>
          <w:sz w:val="24"/>
          <w:szCs w:val="24"/>
        </w:rPr>
        <w:t>d</w:t>
      </w:r>
      <w:r w:rsidR="00B94042" w:rsidRPr="00B94042">
        <w:rPr>
          <w:sz w:val="24"/>
          <w:szCs w:val="24"/>
        </w:rPr>
        <w:t>el dinero en juego por las irregularidades presentadas. Es por ello que se tuvo en cuenta este cálculo solamente sobre los hechos que reportaron dinero en juego, el cual correspondió a 207 de 327 hechos de corrupción</w:t>
      </w:r>
      <w:r w:rsidR="00B94042">
        <w:rPr>
          <w:sz w:val="24"/>
          <w:szCs w:val="24"/>
        </w:rPr>
        <w:t xml:space="preserve">. Sobre los hechos que reportaron dinero en juego, </w:t>
      </w:r>
      <w:r>
        <w:rPr>
          <w:sz w:val="24"/>
          <w:szCs w:val="24"/>
        </w:rPr>
        <w:t xml:space="preserve">el 29% </w:t>
      </w:r>
      <w:r w:rsidR="00B94042">
        <w:rPr>
          <w:sz w:val="24"/>
          <w:szCs w:val="24"/>
        </w:rPr>
        <w:t xml:space="preserve">reportan </w:t>
      </w:r>
      <w:r>
        <w:rPr>
          <w:sz w:val="24"/>
          <w:szCs w:val="24"/>
        </w:rPr>
        <w:t>montos superiores a los $10.000 millones de pesos, seguido de un 26% de hechos en donde el rango del dinero en juego va de $1</w:t>
      </w:r>
      <w:r w:rsidR="00750E4D">
        <w:rPr>
          <w:sz w:val="24"/>
          <w:szCs w:val="24"/>
        </w:rPr>
        <w:t>.</w:t>
      </w:r>
      <w:r>
        <w:rPr>
          <w:sz w:val="24"/>
          <w:szCs w:val="24"/>
        </w:rPr>
        <w:t>000 a $5</w:t>
      </w:r>
      <w:r w:rsidR="00750E4D">
        <w:rPr>
          <w:sz w:val="24"/>
          <w:szCs w:val="24"/>
        </w:rPr>
        <w:t>.</w:t>
      </w:r>
      <w:r>
        <w:rPr>
          <w:sz w:val="24"/>
          <w:szCs w:val="24"/>
        </w:rPr>
        <w:t xml:space="preserve">000 millones de pesos. </w:t>
      </w:r>
      <w:r w:rsidR="00D1073A">
        <w:rPr>
          <w:sz w:val="24"/>
          <w:szCs w:val="24"/>
        </w:rPr>
        <w:t xml:space="preserve">Al realizar la sumatoria de todos los montos de dinero en juego en los 207 hechos de corrupción que contaban con dicha información, el monto obtenido fue de </w:t>
      </w:r>
      <w:r w:rsidR="00D1073A" w:rsidRPr="00414DAF">
        <w:rPr>
          <w:b/>
          <w:sz w:val="24"/>
          <w:szCs w:val="24"/>
        </w:rPr>
        <w:t>17,9 billones de pesos</w:t>
      </w:r>
      <w:r w:rsidR="00D1073A">
        <w:rPr>
          <w:sz w:val="24"/>
          <w:szCs w:val="24"/>
        </w:rPr>
        <w:t>.</w:t>
      </w:r>
      <w:r w:rsidR="00D1073A">
        <w:rPr>
          <w:rStyle w:val="Refdenotaalpie"/>
          <w:sz w:val="24"/>
          <w:szCs w:val="24"/>
        </w:rPr>
        <w:footnoteReference w:id="23"/>
      </w:r>
      <w:r w:rsidR="00D1073A">
        <w:rPr>
          <w:sz w:val="24"/>
          <w:szCs w:val="24"/>
        </w:rPr>
        <w:t xml:space="preserve"> </w:t>
      </w:r>
    </w:p>
    <w:p w:rsidR="0080317E" w:rsidRDefault="00A8179F">
      <w:pPr>
        <w:spacing w:line="240" w:lineRule="auto"/>
        <w:jc w:val="both"/>
        <w:rPr>
          <w:sz w:val="24"/>
          <w:szCs w:val="24"/>
        </w:rPr>
      </w:pPr>
      <w:r>
        <w:rPr>
          <w:sz w:val="24"/>
          <w:szCs w:val="24"/>
        </w:rPr>
        <w:t>Esto demuestra que cuando de corrupción se trata, se piensa en grande y el dinero apropiado y desviado por los corrupt</w:t>
      </w:r>
      <w:r w:rsidR="00B94042">
        <w:rPr>
          <w:sz w:val="24"/>
          <w:szCs w:val="24"/>
        </w:rPr>
        <w:t xml:space="preserve">os alcanza cifras preocupantes. </w:t>
      </w:r>
      <w:r w:rsidR="0080317E">
        <w:rPr>
          <w:sz w:val="24"/>
          <w:szCs w:val="24"/>
        </w:rPr>
        <w:t xml:space="preserve">La siguiente gráfica ilustra los rangos de dinero en juego de manera detallada: </w:t>
      </w:r>
    </w:p>
    <w:p w:rsidR="0080317E" w:rsidRPr="00170377" w:rsidRDefault="004158E6" w:rsidP="00170377">
      <w:pPr>
        <w:pStyle w:val="Epgrafe"/>
        <w:keepNext/>
        <w:jc w:val="center"/>
        <w:rPr>
          <w:bCs w:val="0"/>
          <w:smallCaps w:val="0"/>
          <w:color w:val="auto"/>
          <w:sz w:val="24"/>
          <w:szCs w:val="24"/>
        </w:rPr>
      </w:pPr>
      <w:r>
        <w:rPr>
          <w:bCs w:val="0"/>
          <w:smallCaps w:val="0"/>
          <w:color w:val="auto"/>
          <w:sz w:val="24"/>
          <w:szCs w:val="24"/>
        </w:rPr>
        <w:t>Gráfica # 7</w:t>
      </w:r>
      <w:r w:rsidR="0080317E" w:rsidRPr="00467DCC">
        <w:rPr>
          <w:bCs w:val="0"/>
          <w:smallCaps w:val="0"/>
          <w:color w:val="auto"/>
          <w:sz w:val="24"/>
          <w:szCs w:val="24"/>
        </w:rPr>
        <w:t xml:space="preserve"> –</w:t>
      </w:r>
      <w:r w:rsidR="0080317E">
        <w:rPr>
          <w:bCs w:val="0"/>
          <w:smallCaps w:val="0"/>
          <w:color w:val="auto"/>
          <w:sz w:val="24"/>
          <w:szCs w:val="24"/>
        </w:rPr>
        <w:t xml:space="preserve">Porcentaje </w:t>
      </w:r>
      <w:r w:rsidR="00170377">
        <w:rPr>
          <w:bCs w:val="0"/>
          <w:smallCaps w:val="0"/>
          <w:color w:val="auto"/>
          <w:sz w:val="24"/>
          <w:szCs w:val="24"/>
        </w:rPr>
        <w:t xml:space="preserve">de </w:t>
      </w:r>
      <w:r w:rsidR="00170377" w:rsidRPr="00467DCC">
        <w:rPr>
          <w:bCs w:val="0"/>
          <w:smallCaps w:val="0"/>
          <w:color w:val="auto"/>
          <w:sz w:val="24"/>
          <w:szCs w:val="24"/>
        </w:rPr>
        <w:t xml:space="preserve">hechos de corrupción </w:t>
      </w:r>
      <w:r w:rsidR="00170377">
        <w:rPr>
          <w:bCs w:val="0"/>
          <w:smallCaps w:val="0"/>
          <w:color w:val="auto"/>
          <w:sz w:val="24"/>
          <w:szCs w:val="24"/>
        </w:rPr>
        <w:t xml:space="preserve">registrados en la prensa por rangos de dinero en juego </w:t>
      </w:r>
    </w:p>
    <w:p w:rsidR="00170377" w:rsidRDefault="00D1073A">
      <w:pPr>
        <w:spacing w:line="240" w:lineRule="auto"/>
        <w:jc w:val="both"/>
        <w:rPr>
          <w:sz w:val="24"/>
          <w:szCs w:val="24"/>
        </w:rPr>
      </w:pPr>
      <w:r w:rsidRPr="00D1073A">
        <w:rPr>
          <w:noProof/>
          <w:sz w:val="24"/>
          <w:szCs w:val="24"/>
          <w:lang w:eastAsia="es-CO"/>
        </w:rPr>
        <w:drawing>
          <wp:inline distT="0" distB="0" distL="0" distR="0">
            <wp:extent cx="5600700" cy="3076575"/>
            <wp:effectExtent l="0" t="0" r="0" b="0"/>
            <wp:docPr id="17" name="Gráfico 14">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70377" w:rsidRPr="00170377" w:rsidRDefault="00170377" w:rsidP="00170377">
      <w:pPr>
        <w:spacing w:line="240" w:lineRule="auto"/>
        <w:jc w:val="center"/>
        <w:rPr>
          <w:sz w:val="20"/>
          <w:szCs w:val="24"/>
        </w:rPr>
      </w:pPr>
      <w:r w:rsidRPr="00666D4D">
        <w:rPr>
          <w:sz w:val="20"/>
          <w:szCs w:val="24"/>
        </w:rPr>
        <w:lastRenderedPageBreak/>
        <w:t xml:space="preserve">Fuente: </w:t>
      </w:r>
      <w:r>
        <w:rPr>
          <w:sz w:val="20"/>
          <w:szCs w:val="24"/>
        </w:rPr>
        <w:t xml:space="preserve">Informe </w:t>
      </w:r>
      <w:r w:rsidRPr="00666D4D">
        <w:rPr>
          <w:sz w:val="20"/>
          <w:szCs w:val="24"/>
        </w:rPr>
        <w:t xml:space="preserve">Monitor Ciudadano </w:t>
      </w:r>
      <w:r>
        <w:rPr>
          <w:sz w:val="20"/>
          <w:szCs w:val="24"/>
        </w:rPr>
        <w:t xml:space="preserve">(2016-2018) </w:t>
      </w:r>
    </w:p>
    <w:p w:rsidR="00356002" w:rsidRDefault="00356002">
      <w:pPr>
        <w:spacing w:line="240" w:lineRule="auto"/>
        <w:jc w:val="both"/>
        <w:rPr>
          <w:sz w:val="24"/>
          <w:szCs w:val="24"/>
        </w:rPr>
      </w:pPr>
      <w:r>
        <w:rPr>
          <w:sz w:val="24"/>
          <w:szCs w:val="24"/>
        </w:rPr>
        <w:t xml:space="preserve">Al cruzar </w:t>
      </w:r>
      <w:r w:rsidR="00A8179F">
        <w:rPr>
          <w:sz w:val="24"/>
          <w:szCs w:val="24"/>
        </w:rPr>
        <w:t xml:space="preserve">el dinero en juego con </w:t>
      </w:r>
      <w:r w:rsidR="00960B25">
        <w:rPr>
          <w:sz w:val="24"/>
          <w:szCs w:val="24"/>
        </w:rPr>
        <w:t xml:space="preserve">sectores afectados, el Sector Minas y Energía ocupa el primer lugar con un monto de dinero en juego de 8,5 billones de pesos. Le sigue el sector </w:t>
      </w:r>
      <w:r w:rsidR="00750E4D">
        <w:rPr>
          <w:sz w:val="24"/>
          <w:szCs w:val="24"/>
        </w:rPr>
        <w:t>infraestructura y transporte</w:t>
      </w:r>
      <w:r w:rsidR="00960B25">
        <w:rPr>
          <w:sz w:val="24"/>
          <w:szCs w:val="24"/>
        </w:rPr>
        <w:t xml:space="preserve"> con un total de </w:t>
      </w:r>
      <w:r w:rsidR="00B94042">
        <w:rPr>
          <w:sz w:val="24"/>
          <w:szCs w:val="24"/>
        </w:rPr>
        <w:t>dinero en juego</w:t>
      </w:r>
      <w:r w:rsidR="00960B25">
        <w:rPr>
          <w:sz w:val="24"/>
          <w:szCs w:val="24"/>
        </w:rPr>
        <w:t xml:space="preserve"> de alrededor de 4,4 billones de pesos </w:t>
      </w:r>
      <w:r w:rsidR="00A8179F">
        <w:rPr>
          <w:sz w:val="24"/>
          <w:szCs w:val="24"/>
        </w:rPr>
        <w:t>y para el sector salud</w:t>
      </w:r>
      <w:r w:rsidR="00B94042">
        <w:rPr>
          <w:sz w:val="24"/>
          <w:szCs w:val="24"/>
        </w:rPr>
        <w:t xml:space="preserve">, </w:t>
      </w:r>
      <w:r w:rsidR="00960B25">
        <w:rPr>
          <w:sz w:val="24"/>
          <w:szCs w:val="24"/>
        </w:rPr>
        <w:t>el total de los hechos llegaron a una suma de 3,2 billones de pesos.</w:t>
      </w:r>
      <w:r w:rsidR="00960B25">
        <w:rPr>
          <w:rStyle w:val="Refdenotaalpie"/>
          <w:sz w:val="24"/>
          <w:szCs w:val="24"/>
        </w:rPr>
        <w:footnoteReference w:id="24"/>
      </w:r>
      <w:r w:rsidR="00960B25">
        <w:rPr>
          <w:sz w:val="24"/>
          <w:szCs w:val="24"/>
        </w:rPr>
        <w:t xml:space="preserve"> Esto demuestra que e</w:t>
      </w:r>
      <w:r w:rsidR="00A8179F">
        <w:rPr>
          <w:sz w:val="24"/>
          <w:szCs w:val="24"/>
        </w:rPr>
        <w:t xml:space="preserve">n términos </w:t>
      </w:r>
      <w:r>
        <w:rPr>
          <w:sz w:val="24"/>
          <w:szCs w:val="24"/>
        </w:rPr>
        <w:t xml:space="preserve">de </w:t>
      </w:r>
      <w:r w:rsidR="00B94042">
        <w:rPr>
          <w:sz w:val="24"/>
          <w:szCs w:val="24"/>
        </w:rPr>
        <w:t>recursos públicos</w:t>
      </w:r>
      <w:r w:rsidR="00960B25">
        <w:rPr>
          <w:sz w:val="24"/>
          <w:szCs w:val="24"/>
        </w:rPr>
        <w:t xml:space="preserve"> comprometidos,</w:t>
      </w:r>
      <w:r w:rsidR="00B94042">
        <w:rPr>
          <w:sz w:val="24"/>
          <w:szCs w:val="24"/>
        </w:rPr>
        <w:t xml:space="preserve"> </w:t>
      </w:r>
      <w:r>
        <w:rPr>
          <w:sz w:val="24"/>
          <w:szCs w:val="24"/>
        </w:rPr>
        <w:t>el sector de infraestructura y transporte no sólo ocupa el segundo puesto de mayor afectación por hechos de corrup</w:t>
      </w:r>
      <w:r w:rsidR="00960B25">
        <w:rPr>
          <w:sz w:val="24"/>
          <w:szCs w:val="24"/>
        </w:rPr>
        <w:t xml:space="preserve">ción sino que también ocupa el segundo </w:t>
      </w:r>
      <w:r>
        <w:rPr>
          <w:sz w:val="24"/>
          <w:szCs w:val="24"/>
        </w:rPr>
        <w:t>lugar en términos de c</w:t>
      </w:r>
      <w:r w:rsidR="00B94042">
        <w:rPr>
          <w:sz w:val="24"/>
          <w:szCs w:val="24"/>
        </w:rPr>
        <w:t xml:space="preserve">antidad de dinero en juego. </w:t>
      </w:r>
      <w:r w:rsidR="00960B25">
        <w:rPr>
          <w:sz w:val="24"/>
          <w:szCs w:val="24"/>
        </w:rPr>
        <w:t xml:space="preserve">El sector salud presenta el mismo comportamiento, pues es el tercer sector más afectado y el tercer sector con monto más alto de dinero en juego. </w:t>
      </w:r>
    </w:p>
    <w:p w:rsidR="00356002" w:rsidRPr="00356002" w:rsidRDefault="00356002">
      <w:pPr>
        <w:spacing w:line="240" w:lineRule="auto"/>
        <w:jc w:val="both"/>
        <w:rPr>
          <w:b/>
          <w:sz w:val="24"/>
          <w:szCs w:val="24"/>
        </w:rPr>
      </w:pPr>
      <w:r w:rsidRPr="00356002">
        <w:rPr>
          <w:b/>
          <w:sz w:val="24"/>
          <w:szCs w:val="24"/>
        </w:rPr>
        <w:t xml:space="preserve">Sectores y </w:t>
      </w:r>
      <w:commentRangeStart w:id="19"/>
      <w:r w:rsidRPr="00356002">
        <w:rPr>
          <w:b/>
          <w:sz w:val="24"/>
          <w:szCs w:val="24"/>
        </w:rPr>
        <w:t>territorios</w:t>
      </w:r>
      <w:commentRangeEnd w:id="19"/>
      <w:r w:rsidR="00687649">
        <w:rPr>
          <w:rStyle w:val="Refdecomentario"/>
          <w:rFonts w:ascii="Calibri" w:eastAsia="Calibri" w:hAnsi="Calibri" w:cs="Times New Roman"/>
        </w:rPr>
        <w:commentReference w:id="19"/>
      </w:r>
      <w:r w:rsidRPr="00356002">
        <w:rPr>
          <w:b/>
          <w:sz w:val="24"/>
          <w:szCs w:val="24"/>
        </w:rPr>
        <w:t xml:space="preserve"> </w:t>
      </w:r>
    </w:p>
    <w:p w:rsidR="00146FEC" w:rsidRDefault="00170377">
      <w:pPr>
        <w:spacing w:line="240" w:lineRule="auto"/>
        <w:jc w:val="both"/>
        <w:rPr>
          <w:sz w:val="24"/>
          <w:szCs w:val="24"/>
        </w:rPr>
      </w:pPr>
      <w:r>
        <w:rPr>
          <w:sz w:val="24"/>
          <w:szCs w:val="24"/>
        </w:rPr>
        <w:t xml:space="preserve">Por último, para tener una mirada geográfica en cuanto a los sectores afectados, en cuanto a Educación, </w:t>
      </w:r>
      <w:r w:rsidR="00CD7AEE">
        <w:rPr>
          <w:sz w:val="24"/>
          <w:szCs w:val="24"/>
        </w:rPr>
        <w:t>el d</w:t>
      </w:r>
      <w:r w:rsidR="00CD7AEE" w:rsidRPr="00CD7AEE">
        <w:rPr>
          <w:sz w:val="24"/>
          <w:szCs w:val="24"/>
        </w:rPr>
        <w:t xml:space="preserve">epartamento del Atlántico es el que más hechos reporta asociados a este </w:t>
      </w:r>
      <w:r w:rsidR="00CD7AEE" w:rsidRPr="00170377">
        <w:rPr>
          <w:color w:val="000000" w:themeColor="text1"/>
          <w:sz w:val="24"/>
          <w:szCs w:val="24"/>
        </w:rPr>
        <w:t xml:space="preserve">sector </w:t>
      </w:r>
      <w:r w:rsidRPr="00170377">
        <w:rPr>
          <w:color w:val="000000" w:themeColor="text1"/>
          <w:sz w:val="24"/>
          <w:szCs w:val="24"/>
        </w:rPr>
        <w:t xml:space="preserve">(19% </w:t>
      </w:r>
      <w:r w:rsidR="006A7A49" w:rsidRPr="00170377">
        <w:rPr>
          <w:color w:val="000000" w:themeColor="text1"/>
          <w:sz w:val="24"/>
          <w:szCs w:val="24"/>
        </w:rPr>
        <w:t>)</w:t>
      </w:r>
      <w:r w:rsidR="00CD7AEE" w:rsidRPr="00170377">
        <w:rPr>
          <w:color w:val="000000" w:themeColor="text1"/>
          <w:sz w:val="24"/>
          <w:szCs w:val="24"/>
        </w:rPr>
        <w:t>,</w:t>
      </w:r>
      <w:r w:rsidR="00CD7AEE" w:rsidRPr="00CD7AEE">
        <w:rPr>
          <w:sz w:val="24"/>
          <w:szCs w:val="24"/>
        </w:rPr>
        <w:t xml:space="preserve"> seguido de Córdoba</w:t>
      </w:r>
      <w:r>
        <w:rPr>
          <w:sz w:val="24"/>
          <w:szCs w:val="24"/>
        </w:rPr>
        <w:t xml:space="preserve"> (11%)  y Valle del Cauca(9%)  </w:t>
      </w:r>
      <w:r w:rsidR="0054266E">
        <w:rPr>
          <w:sz w:val="24"/>
          <w:szCs w:val="24"/>
        </w:rPr>
        <w:t xml:space="preserve">Siendo </w:t>
      </w:r>
      <w:r w:rsidR="009B694F">
        <w:rPr>
          <w:sz w:val="24"/>
          <w:szCs w:val="24"/>
        </w:rPr>
        <w:t>la corrupción</w:t>
      </w:r>
      <w:r w:rsidR="00CD7AEE">
        <w:rPr>
          <w:sz w:val="24"/>
          <w:szCs w:val="24"/>
        </w:rPr>
        <w:t xml:space="preserve"> en el </w:t>
      </w:r>
      <w:r w:rsidR="005D7952">
        <w:rPr>
          <w:sz w:val="24"/>
          <w:szCs w:val="24"/>
        </w:rPr>
        <w:t xml:space="preserve">Programa </w:t>
      </w:r>
      <w:r w:rsidR="00CD7AEE" w:rsidRPr="00CD7AEE">
        <w:rPr>
          <w:sz w:val="24"/>
          <w:szCs w:val="24"/>
        </w:rPr>
        <w:t xml:space="preserve">de </w:t>
      </w:r>
      <w:r w:rsidR="006A70D8">
        <w:rPr>
          <w:sz w:val="24"/>
          <w:szCs w:val="24"/>
        </w:rPr>
        <w:t>A</w:t>
      </w:r>
      <w:r w:rsidR="00CD7AEE" w:rsidRPr="00CD7AEE">
        <w:rPr>
          <w:sz w:val="24"/>
          <w:szCs w:val="24"/>
        </w:rPr>
        <w:t xml:space="preserve">limentación Escolar -PAE </w:t>
      </w:r>
      <w:r>
        <w:rPr>
          <w:sz w:val="24"/>
          <w:szCs w:val="24"/>
        </w:rPr>
        <w:t xml:space="preserve">un </w:t>
      </w:r>
      <w:r w:rsidR="00CD7AEE">
        <w:rPr>
          <w:sz w:val="24"/>
          <w:szCs w:val="24"/>
        </w:rPr>
        <w:t xml:space="preserve">hecho </w:t>
      </w:r>
      <w:r w:rsidR="00CD7AEE" w:rsidRPr="00CD7AEE">
        <w:rPr>
          <w:sz w:val="24"/>
          <w:szCs w:val="24"/>
        </w:rPr>
        <w:t xml:space="preserve">común </w:t>
      </w:r>
      <w:r w:rsidR="00FD06B3">
        <w:rPr>
          <w:sz w:val="24"/>
          <w:szCs w:val="24"/>
        </w:rPr>
        <w:t xml:space="preserve">en </w:t>
      </w:r>
      <w:r w:rsidR="00CD7AEE" w:rsidRPr="00CD7AEE">
        <w:rPr>
          <w:sz w:val="24"/>
          <w:szCs w:val="24"/>
        </w:rPr>
        <w:t>estos</w:t>
      </w:r>
      <w:r w:rsidR="00CD7AEE">
        <w:rPr>
          <w:sz w:val="24"/>
          <w:szCs w:val="24"/>
        </w:rPr>
        <w:t xml:space="preserve"> </w:t>
      </w:r>
      <w:r>
        <w:rPr>
          <w:sz w:val="24"/>
          <w:szCs w:val="24"/>
        </w:rPr>
        <w:t xml:space="preserve">tres </w:t>
      </w:r>
      <w:r w:rsidR="00CD7AEE">
        <w:rPr>
          <w:sz w:val="24"/>
          <w:szCs w:val="24"/>
        </w:rPr>
        <w:t>departamentos.</w:t>
      </w:r>
    </w:p>
    <w:p w:rsidR="00FC59D1" w:rsidRDefault="00FC59D1">
      <w:pPr>
        <w:spacing w:line="240" w:lineRule="auto"/>
        <w:jc w:val="both"/>
        <w:rPr>
          <w:sz w:val="24"/>
          <w:szCs w:val="24"/>
        </w:rPr>
      </w:pPr>
      <w:r>
        <w:rPr>
          <w:sz w:val="24"/>
          <w:szCs w:val="24"/>
        </w:rPr>
        <w:t>F</w:t>
      </w:r>
      <w:r w:rsidRPr="00FC59D1">
        <w:rPr>
          <w:sz w:val="24"/>
          <w:szCs w:val="24"/>
        </w:rPr>
        <w:t>rente al sector de infraestructura</w:t>
      </w:r>
      <w:r>
        <w:rPr>
          <w:sz w:val="24"/>
          <w:szCs w:val="24"/>
        </w:rPr>
        <w:t xml:space="preserve"> y transporte, fueron los departamentos de Santander (17%), </w:t>
      </w:r>
      <w:r w:rsidRPr="00CD7AEE">
        <w:rPr>
          <w:sz w:val="24"/>
          <w:szCs w:val="24"/>
        </w:rPr>
        <w:t>Valle del Cauca</w:t>
      </w:r>
      <w:r>
        <w:rPr>
          <w:sz w:val="24"/>
          <w:szCs w:val="24"/>
        </w:rPr>
        <w:t xml:space="preserve"> (17%) y Bogotá (8%) los lugares que más reportaron</w:t>
      </w:r>
      <w:r w:rsidRPr="00CD7AEE">
        <w:rPr>
          <w:sz w:val="24"/>
          <w:szCs w:val="24"/>
        </w:rPr>
        <w:t xml:space="preserve"> hechos asociados a este sector</w:t>
      </w:r>
      <w:r>
        <w:rPr>
          <w:sz w:val="24"/>
          <w:szCs w:val="24"/>
        </w:rPr>
        <w:t xml:space="preserve">. </w:t>
      </w:r>
    </w:p>
    <w:p w:rsidR="00E05F8A" w:rsidRDefault="00FC59D1" w:rsidP="00CD7AEE">
      <w:pPr>
        <w:jc w:val="both"/>
        <w:rPr>
          <w:sz w:val="24"/>
          <w:szCs w:val="24"/>
        </w:rPr>
      </w:pPr>
      <w:r>
        <w:rPr>
          <w:sz w:val="24"/>
          <w:szCs w:val="24"/>
        </w:rPr>
        <w:t>Por último, e</w:t>
      </w:r>
      <w:r w:rsidR="0054266E">
        <w:rPr>
          <w:sz w:val="24"/>
          <w:szCs w:val="24"/>
        </w:rPr>
        <w:t>n relación con el</w:t>
      </w:r>
      <w:r w:rsidR="00170377">
        <w:rPr>
          <w:sz w:val="24"/>
          <w:szCs w:val="24"/>
        </w:rPr>
        <w:t xml:space="preserve"> sector S</w:t>
      </w:r>
      <w:r w:rsidR="00CD7AEE">
        <w:rPr>
          <w:sz w:val="24"/>
          <w:szCs w:val="24"/>
        </w:rPr>
        <w:t>alud</w:t>
      </w:r>
      <w:r w:rsidR="0054266E">
        <w:rPr>
          <w:sz w:val="24"/>
          <w:szCs w:val="24"/>
        </w:rPr>
        <w:t xml:space="preserve"> son </w:t>
      </w:r>
      <w:r w:rsidR="00CD7AEE">
        <w:rPr>
          <w:sz w:val="24"/>
          <w:szCs w:val="24"/>
        </w:rPr>
        <w:t>lo</w:t>
      </w:r>
      <w:r w:rsidR="00CD7AEE" w:rsidRPr="00CD7AEE">
        <w:rPr>
          <w:sz w:val="24"/>
          <w:szCs w:val="24"/>
        </w:rPr>
        <w:t xml:space="preserve">s departamentos </w:t>
      </w:r>
      <w:r w:rsidR="00170377">
        <w:rPr>
          <w:sz w:val="24"/>
          <w:szCs w:val="24"/>
        </w:rPr>
        <w:t xml:space="preserve">de </w:t>
      </w:r>
      <w:r w:rsidR="002D753E">
        <w:rPr>
          <w:sz w:val="24"/>
          <w:szCs w:val="24"/>
        </w:rPr>
        <w:t>Sucre</w:t>
      </w:r>
      <w:r w:rsidR="00170377">
        <w:rPr>
          <w:sz w:val="24"/>
          <w:szCs w:val="24"/>
        </w:rPr>
        <w:t xml:space="preserve"> (14%), Córdoba (14%) y </w:t>
      </w:r>
      <w:r w:rsidR="00170377" w:rsidRPr="00FC59D1">
        <w:rPr>
          <w:sz w:val="24"/>
          <w:szCs w:val="24"/>
        </w:rPr>
        <w:t xml:space="preserve">Valle (11%) </w:t>
      </w:r>
      <w:r w:rsidR="0054266E" w:rsidRPr="00FC59D1">
        <w:rPr>
          <w:sz w:val="24"/>
          <w:szCs w:val="24"/>
        </w:rPr>
        <w:t xml:space="preserve">donde se </w:t>
      </w:r>
      <w:r w:rsidR="00CD7AEE" w:rsidRPr="00FC59D1">
        <w:rPr>
          <w:sz w:val="24"/>
          <w:szCs w:val="24"/>
        </w:rPr>
        <w:t>reportan más hechos</w:t>
      </w:r>
      <w:r w:rsidR="002D753E" w:rsidRPr="00FC59D1">
        <w:rPr>
          <w:sz w:val="24"/>
          <w:szCs w:val="24"/>
        </w:rPr>
        <w:t>.</w:t>
      </w:r>
      <w:r w:rsidR="00170377" w:rsidRPr="00FC59D1">
        <w:rPr>
          <w:sz w:val="24"/>
          <w:szCs w:val="24"/>
        </w:rPr>
        <w:t xml:space="preserve"> Es importante hacer mención a c</w:t>
      </w:r>
      <w:r w:rsidR="002D753E" w:rsidRPr="00FC59D1">
        <w:rPr>
          <w:sz w:val="24"/>
          <w:szCs w:val="24"/>
        </w:rPr>
        <w:t xml:space="preserve">asos como </w:t>
      </w:r>
      <w:r w:rsidR="006A7A49" w:rsidRPr="00FC59D1">
        <w:rPr>
          <w:sz w:val="24"/>
          <w:szCs w:val="24"/>
        </w:rPr>
        <w:t>los Carteles del Sida</w:t>
      </w:r>
      <w:r>
        <w:rPr>
          <w:sz w:val="24"/>
          <w:szCs w:val="24"/>
        </w:rPr>
        <w:t xml:space="preserve"> (2018),</w:t>
      </w:r>
      <w:r w:rsidR="006A7A49" w:rsidRPr="00FC59D1">
        <w:rPr>
          <w:sz w:val="24"/>
          <w:szCs w:val="24"/>
        </w:rPr>
        <w:t xml:space="preserve"> de los enfermos mentales</w:t>
      </w:r>
      <w:r w:rsidRPr="00FC59D1">
        <w:rPr>
          <w:sz w:val="24"/>
          <w:szCs w:val="24"/>
        </w:rPr>
        <w:t xml:space="preserve"> (2012),</w:t>
      </w:r>
      <w:r w:rsidR="006A7A49" w:rsidRPr="00FC59D1">
        <w:rPr>
          <w:sz w:val="24"/>
          <w:szCs w:val="24"/>
        </w:rPr>
        <w:t xml:space="preserve"> de la Hemofilia</w:t>
      </w:r>
      <w:r w:rsidRPr="00FC59D1">
        <w:rPr>
          <w:sz w:val="24"/>
          <w:szCs w:val="24"/>
        </w:rPr>
        <w:t xml:space="preserve"> (2013) y</w:t>
      </w:r>
      <w:r w:rsidR="006A7A49" w:rsidRPr="00FC59D1">
        <w:rPr>
          <w:sz w:val="24"/>
          <w:szCs w:val="24"/>
        </w:rPr>
        <w:t xml:space="preserve"> hasta el Cartel de las cirugías</w:t>
      </w:r>
      <w:r>
        <w:rPr>
          <w:sz w:val="24"/>
          <w:szCs w:val="24"/>
        </w:rPr>
        <w:t xml:space="preserve"> (2013),</w:t>
      </w:r>
      <w:r w:rsidR="00170377" w:rsidRPr="00FC59D1">
        <w:rPr>
          <w:sz w:val="24"/>
          <w:szCs w:val="24"/>
        </w:rPr>
        <w:t xml:space="preserve"> como </w:t>
      </w:r>
      <w:r w:rsidR="00CD7AEE" w:rsidRPr="00FC59D1">
        <w:rPr>
          <w:sz w:val="24"/>
          <w:szCs w:val="24"/>
        </w:rPr>
        <w:t>los casos más críticos</w:t>
      </w:r>
      <w:r w:rsidR="00170377" w:rsidRPr="00FC59D1">
        <w:rPr>
          <w:sz w:val="24"/>
          <w:szCs w:val="24"/>
        </w:rPr>
        <w:t xml:space="preserve"> de la salud ocurridos en </w:t>
      </w:r>
      <w:r w:rsidR="00496DFD">
        <w:rPr>
          <w:sz w:val="24"/>
          <w:szCs w:val="24"/>
        </w:rPr>
        <w:t xml:space="preserve">Sucre y </w:t>
      </w:r>
      <w:r w:rsidR="00960B25">
        <w:rPr>
          <w:sz w:val="24"/>
          <w:szCs w:val="24"/>
        </w:rPr>
        <w:t xml:space="preserve">Córdoba. </w:t>
      </w:r>
      <w:r w:rsidR="00E05F8A">
        <w:rPr>
          <w:sz w:val="24"/>
          <w:szCs w:val="24"/>
        </w:rPr>
        <w:t>A</w:t>
      </w:r>
      <w:r w:rsidR="00170377">
        <w:rPr>
          <w:sz w:val="24"/>
          <w:szCs w:val="24"/>
        </w:rPr>
        <w:t xml:space="preserve"> continuación se presentan </w:t>
      </w:r>
      <w:r>
        <w:rPr>
          <w:sz w:val="24"/>
          <w:szCs w:val="24"/>
        </w:rPr>
        <w:t xml:space="preserve">un caso de ejemplo asociado a cada sector: </w:t>
      </w:r>
    </w:p>
    <w:p w:rsidR="00BC74AC" w:rsidRPr="00BC74AC" w:rsidRDefault="00FC59D1" w:rsidP="00CD7AEE">
      <w:pPr>
        <w:jc w:val="both"/>
        <w:rPr>
          <w:b/>
          <w:sz w:val="24"/>
          <w:szCs w:val="24"/>
        </w:rPr>
      </w:pPr>
      <w:r w:rsidRPr="00BC74AC">
        <w:rPr>
          <w:b/>
          <w:sz w:val="24"/>
          <w:szCs w:val="24"/>
        </w:rPr>
        <w:t>Educación</w:t>
      </w:r>
      <w:r w:rsidR="00BC74AC" w:rsidRPr="00BC74AC">
        <w:rPr>
          <w:b/>
          <w:sz w:val="24"/>
          <w:szCs w:val="24"/>
        </w:rPr>
        <w:t xml:space="preserve"> </w:t>
      </w:r>
    </w:p>
    <w:p w:rsidR="00FC59D1" w:rsidRPr="00BC74AC" w:rsidRDefault="00BC74AC" w:rsidP="00CD7AEE">
      <w:pPr>
        <w:jc w:val="both"/>
        <w:rPr>
          <w:b/>
          <w:sz w:val="24"/>
          <w:szCs w:val="24"/>
        </w:rPr>
      </w:pPr>
      <w:r w:rsidRPr="00BC74AC">
        <w:rPr>
          <w:b/>
          <w:sz w:val="24"/>
          <w:szCs w:val="24"/>
        </w:rPr>
        <w:t xml:space="preserve">Córdoba </w:t>
      </w:r>
    </w:p>
    <w:p w:rsidR="00397527" w:rsidRDefault="00397527" w:rsidP="00CD7AEE">
      <w:pPr>
        <w:jc w:val="both"/>
        <w:rPr>
          <w:sz w:val="24"/>
          <w:szCs w:val="24"/>
        </w:rPr>
      </w:pPr>
      <w:r w:rsidRPr="00397527">
        <w:rPr>
          <w:sz w:val="24"/>
          <w:szCs w:val="24"/>
        </w:rPr>
        <w:t xml:space="preserve">Entre 2012 y 2015,  periodo de gobierno de Francisco Jattin como alcalde de Lorica (Córdoba), se celebró un contrato con la Unión Temporal S.O.S, que no contaba con la autorización del Ministerio de Educación. Lo que llamó la atención de esta contratación es que Pedro Llanos Corrales, representante legal de la Unión Temporal,  era  familiar del alcalde. Por esta razón el presidente de la Veeduría Ciudadana de Lorica denunció las irregularidades de la contratación, que tuvo un valor mayor a 2.500 millones de pesos y que en teoría </w:t>
      </w:r>
      <w:r>
        <w:rPr>
          <w:sz w:val="24"/>
          <w:szCs w:val="24"/>
        </w:rPr>
        <w:t>debía beneficiar</w:t>
      </w:r>
      <w:r w:rsidRPr="00397527">
        <w:rPr>
          <w:sz w:val="24"/>
          <w:szCs w:val="24"/>
        </w:rPr>
        <w:t xml:space="preserve">  a aproximadamente 1.500 alumnos. También aseguró  que </w:t>
      </w:r>
      <w:r w:rsidRPr="00397527">
        <w:rPr>
          <w:sz w:val="24"/>
          <w:szCs w:val="24"/>
        </w:rPr>
        <w:lastRenderedPageBreak/>
        <w:t>los supuestos alumnos beneficiados en realidad no existían y que las instituciones educativas también estarían vinculadas al hecho. Las indagaciones realizadas por la Contraloría General de la República arrojaron un hallazgo de más de 1.000 millones de pesos perdidos. En 2017, la Fiscalía le imputó cargos al alcalde Jattin  y solicitó medida de aseguramiento.</w:t>
      </w:r>
    </w:p>
    <w:p w:rsidR="00BC74AC" w:rsidRPr="00BC74AC" w:rsidRDefault="00BC74AC" w:rsidP="00CD7AEE">
      <w:pPr>
        <w:jc w:val="both"/>
        <w:rPr>
          <w:b/>
          <w:sz w:val="24"/>
          <w:szCs w:val="24"/>
        </w:rPr>
      </w:pPr>
      <w:r w:rsidRPr="00BC74AC">
        <w:rPr>
          <w:b/>
          <w:sz w:val="24"/>
          <w:szCs w:val="24"/>
        </w:rPr>
        <w:t>Infraestructura y Transporte</w:t>
      </w:r>
    </w:p>
    <w:p w:rsidR="00BC74AC" w:rsidRDefault="00BC74AC" w:rsidP="00CD7AEE">
      <w:pPr>
        <w:jc w:val="both"/>
        <w:rPr>
          <w:b/>
          <w:sz w:val="24"/>
          <w:szCs w:val="24"/>
        </w:rPr>
      </w:pPr>
      <w:r w:rsidRPr="00BC74AC">
        <w:rPr>
          <w:b/>
          <w:sz w:val="24"/>
          <w:szCs w:val="24"/>
        </w:rPr>
        <w:t xml:space="preserve">Santander </w:t>
      </w:r>
    </w:p>
    <w:p w:rsidR="00397527" w:rsidRDefault="00397527" w:rsidP="00CD7AEE">
      <w:pPr>
        <w:jc w:val="both"/>
        <w:rPr>
          <w:sz w:val="24"/>
          <w:szCs w:val="24"/>
        </w:rPr>
      </w:pPr>
      <w:r w:rsidRPr="00397527">
        <w:rPr>
          <w:sz w:val="24"/>
          <w:szCs w:val="24"/>
        </w:rPr>
        <w:t xml:space="preserve">En 2011, la Corporación Autónoma de Santander, en cabeza de Flor María Rangel, suscribió un contrato con la Unión Temporal Barrancabermeja con el fin de reforestar y aislar unos predios estratégicos en términos ambientales. En 2014, la Contraloría General de la República empezó investigaciones sobre el caso pues el contrato había tenido varias suspensiones a pesar de que ya se había girado el 90 por ciento de los recursos, que equivalían a un monto cercano a los 3. 075 millones de pesos. Además se giraron 1.300 millones de pesos a pesar de las advertencias por los problemas de ejecución del contrato. El ente de control también pudo comprobar que los estudios previos del contrato no se realizaron de manera adecuada y que nunca se le adjudicó una interventoría al proyecto. En 2016 fue capturada por estos hechos Flor María Rangel por los delitos de peculado por apropiación y falsedad en documento público y privado. En enero de 2017 le fue dictada medida de aseguramiento a la funcionaria en un centro carcelario. </w:t>
      </w:r>
      <w:proofErr w:type="spellStart"/>
      <w:r w:rsidRPr="00397527">
        <w:rPr>
          <w:sz w:val="24"/>
          <w:szCs w:val="24"/>
        </w:rPr>
        <w:t>Elber</w:t>
      </w:r>
      <w:proofErr w:type="spellEnd"/>
      <w:r w:rsidRPr="00397527">
        <w:rPr>
          <w:sz w:val="24"/>
          <w:szCs w:val="24"/>
        </w:rPr>
        <w:t xml:space="preserve"> </w:t>
      </w:r>
      <w:proofErr w:type="spellStart"/>
      <w:r w:rsidRPr="00397527">
        <w:rPr>
          <w:sz w:val="24"/>
          <w:szCs w:val="24"/>
        </w:rPr>
        <w:t>Ardila</w:t>
      </w:r>
      <w:proofErr w:type="spellEnd"/>
      <w:r w:rsidRPr="00397527">
        <w:rPr>
          <w:sz w:val="24"/>
          <w:szCs w:val="24"/>
        </w:rPr>
        <w:t>, director encargado de la CAR en 2011; Héctor Murillo, jefe de rentas de la gobernación en 2017, y Óscar Pereira, exsubdirector de gestión ambiental de la CAS, también fueron cobijados con esta medida.</w:t>
      </w:r>
    </w:p>
    <w:p w:rsidR="00BC74AC" w:rsidRPr="00BC74AC" w:rsidRDefault="00BC74AC" w:rsidP="00CD7AEE">
      <w:pPr>
        <w:jc w:val="both"/>
        <w:rPr>
          <w:b/>
          <w:sz w:val="24"/>
          <w:szCs w:val="24"/>
        </w:rPr>
      </w:pPr>
      <w:r w:rsidRPr="00BC74AC">
        <w:rPr>
          <w:b/>
          <w:sz w:val="24"/>
          <w:szCs w:val="24"/>
        </w:rPr>
        <w:t>Salud</w:t>
      </w:r>
    </w:p>
    <w:p w:rsidR="00BC74AC" w:rsidRDefault="00BC74AC" w:rsidP="00CD7AEE">
      <w:pPr>
        <w:jc w:val="both"/>
        <w:rPr>
          <w:b/>
          <w:sz w:val="24"/>
          <w:szCs w:val="24"/>
        </w:rPr>
      </w:pPr>
      <w:r w:rsidRPr="00BC74AC">
        <w:rPr>
          <w:b/>
          <w:sz w:val="24"/>
          <w:szCs w:val="24"/>
        </w:rPr>
        <w:t xml:space="preserve">Sucre </w:t>
      </w:r>
    </w:p>
    <w:p w:rsidR="00397527" w:rsidRPr="00397527" w:rsidRDefault="00397527" w:rsidP="00397527">
      <w:pPr>
        <w:tabs>
          <w:tab w:val="left" w:pos="5133"/>
        </w:tabs>
        <w:jc w:val="both"/>
        <w:rPr>
          <w:sz w:val="24"/>
          <w:szCs w:val="24"/>
        </w:rPr>
      </w:pPr>
      <w:bookmarkStart w:id="20" w:name="_Toc519496652"/>
      <w:bookmarkStart w:id="21" w:name="_Toc4077119"/>
      <w:bookmarkStart w:id="22" w:name="_Toc4077242"/>
      <w:r w:rsidRPr="00397527">
        <w:rPr>
          <w:sz w:val="24"/>
          <w:szCs w:val="24"/>
        </w:rPr>
        <w:t xml:space="preserve">Entre 2012 y 2015 la Gobernación de Sucre le pagó a varias IPS alrededor de 5.000 millones de pesos por prestar servicios de salud mental a los pacientes que  supuestamente los requerían. En 2017 la Contraloría General de la República encontró que las facturas que presentaban para hacer los cobros corresponderían a servicios no prestados, pero que sí fueron pagados, con recursos del Sistema General de Participaciones (SGP). En 2017 la Procuraduría General inició un proceso de responsabilidad fiscal por 155 facturas que sumaban más de  mil millones de pesos.  En marzo de 2017, la Fiscalía General  capturó e imputó cargos contra a José Jorge Madera Lastre, </w:t>
      </w:r>
      <w:proofErr w:type="spellStart"/>
      <w:r w:rsidRPr="00397527">
        <w:rPr>
          <w:sz w:val="24"/>
          <w:szCs w:val="24"/>
        </w:rPr>
        <w:t>exsecretario</w:t>
      </w:r>
      <w:proofErr w:type="spellEnd"/>
      <w:r w:rsidRPr="00397527">
        <w:rPr>
          <w:sz w:val="24"/>
          <w:szCs w:val="24"/>
        </w:rPr>
        <w:t xml:space="preserve"> de Salud; </w:t>
      </w:r>
      <w:proofErr w:type="spellStart"/>
      <w:r w:rsidRPr="00397527">
        <w:rPr>
          <w:sz w:val="24"/>
          <w:szCs w:val="24"/>
        </w:rPr>
        <w:t>Samir</w:t>
      </w:r>
      <w:proofErr w:type="spellEnd"/>
      <w:r w:rsidRPr="00397527">
        <w:rPr>
          <w:sz w:val="24"/>
          <w:szCs w:val="24"/>
        </w:rPr>
        <w:t xml:space="preserve"> Gregorio Serpa Álvarez, líder de auditoría de la Secretaría de Salud Departamental de Sucre; Luis Alberto </w:t>
      </w:r>
      <w:proofErr w:type="spellStart"/>
      <w:r w:rsidRPr="00397527">
        <w:rPr>
          <w:sz w:val="24"/>
          <w:szCs w:val="24"/>
        </w:rPr>
        <w:t>Fadúl</w:t>
      </w:r>
      <w:proofErr w:type="spellEnd"/>
      <w:r w:rsidRPr="00397527">
        <w:rPr>
          <w:sz w:val="24"/>
          <w:szCs w:val="24"/>
        </w:rPr>
        <w:t xml:space="preserve">, representante legal de la Fundación Nuevo Ser; Ronaldo </w:t>
      </w:r>
      <w:proofErr w:type="spellStart"/>
      <w:r w:rsidRPr="00397527">
        <w:rPr>
          <w:sz w:val="24"/>
          <w:szCs w:val="24"/>
        </w:rPr>
        <w:t>Herazo</w:t>
      </w:r>
      <w:proofErr w:type="spellEnd"/>
      <w:r w:rsidRPr="00397527">
        <w:rPr>
          <w:sz w:val="24"/>
          <w:szCs w:val="24"/>
        </w:rPr>
        <w:t xml:space="preserve"> </w:t>
      </w:r>
      <w:proofErr w:type="spellStart"/>
      <w:r w:rsidRPr="00397527">
        <w:rPr>
          <w:sz w:val="24"/>
          <w:szCs w:val="24"/>
        </w:rPr>
        <w:t>Bertel</w:t>
      </w:r>
      <w:proofErr w:type="spellEnd"/>
      <w:r w:rsidRPr="00397527">
        <w:rPr>
          <w:sz w:val="24"/>
          <w:szCs w:val="24"/>
        </w:rPr>
        <w:t xml:space="preserve">, contador público, y Ernesto Vladimir González, representante de la IPS Nuevos amaneceres. A Efraín Suarez y </w:t>
      </w:r>
      <w:proofErr w:type="spellStart"/>
      <w:r w:rsidRPr="00397527">
        <w:rPr>
          <w:sz w:val="24"/>
          <w:szCs w:val="24"/>
        </w:rPr>
        <w:t>Nayibe</w:t>
      </w:r>
      <w:proofErr w:type="spellEnd"/>
      <w:r w:rsidRPr="00397527">
        <w:rPr>
          <w:sz w:val="24"/>
          <w:szCs w:val="24"/>
        </w:rPr>
        <w:t xml:space="preserve"> Padilla </w:t>
      </w:r>
      <w:r w:rsidRPr="00397527">
        <w:rPr>
          <w:sz w:val="24"/>
          <w:szCs w:val="24"/>
        </w:rPr>
        <w:lastRenderedPageBreak/>
        <w:t xml:space="preserve">Villa, ex secretarios de Salud del departamento les fue impuesta casa por cárcel. De igual forma la Contraloría General de la República abrió un proceso de investigación al </w:t>
      </w:r>
      <w:proofErr w:type="spellStart"/>
      <w:r w:rsidRPr="00397527">
        <w:rPr>
          <w:sz w:val="24"/>
          <w:szCs w:val="24"/>
        </w:rPr>
        <w:t>exgobernador</w:t>
      </w:r>
      <w:proofErr w:type="spellEnd"/>
      <w:r w:rsidRPr="00397527">
        <w:rPr>
          <w:sz w:val="24"/>
          <w:szCs w:val="24"/>
        </w:rPr>
        <w:t xml:space="preserve"> de Sucre (2012-2015).</w:t>
      </w:r>
    </w:p>
    <w:p w:rsidR="00FC5B84" w:rsidRDefault="00687649" w:rsidP="00172695">
      <w:pPr>
        <w:pStyle w:val="Ttulo1"/>
        <w:rPr>
          <w:b/>
          <w:color w:val="000000" w:themeColor="text1"/>
          <w:sz w:val="28"/>
        </w:rPr>
      </w:pPr>
      <w:r w:rsidRPr="00C304B6">
        <w:rPr>
          <w:b/>
          <w:color w:val="000000" w:themeColor="text1"/>
          <w:sz w:val="28"/>
        </w:rPr>
        <w:t>5.</w:t>
      </w:r>
      <w:r w:rsidR="00D03C63" w:rsidRPr="00C304B6">
        <w:rPr>
          <w:b/>
          <w:color w:val="000000" w:themeColor="text1"/>
          <w:sz w:val="28"/>
        </w:rPr>
        <w:t xml:space="preserve"> </w:t>
      </w:r>
      <w:r w:rsidRPr="00C304B6">
        <w:rPr>
          <w:b/>
          <w:color w:val="000000" w:themeColor="text1"/>
          <w:sz w:val="28"/>
        </w:rPr>
        <w:t xml:space="preserve">¿Quiénes son los </w:t>
      </w:r>
      <w:r w:rsidR="00D03C63" w:rsidRPr="00C304B6">
        <w:rPr>
          <w:b/>
          <w:color w:val="000000" w:themeColor="text1"/>
          <w:sz w:val="28"/>
        </w:rPr>
        <w:t>a</w:t>
      </w:r>
      <w:r w:rsidR="005B75B4" w:rsidRPr="00C304B6">
        <w:rPr>
          <w:b/>
          <w:color w:val="000000" w:themeColor="text1"/>
          <w:sz w:val="28"/>
        </w:rPr>
        <w:t>ctores</w:t>
      </w:r>
      <w:r w:rsidR="00D03C63" w:rsidRPr="00C304B6">
        <w:rPr>
          <w:b/>
          <w:color w:val="000000" w:themeColor="text1"/>
          <w:sz w:val="28"/>
        </w:rPr>
        <w:t xml:space="preserve"> de la corrupción</w:t>
      </w:r>
      <w:r w:rsidRPr="00C304B6">
        <w:rPr>
          <w:b/>
          <w:color w:val="000000" w:themeColor="text1"/>
          <w:sz w:val="28"/>
        </w:rPr>
        <w:t>?</w:t>
      </w:r>
      <w:bookmarkEnd w:id="20"/>
      <w:r w:rsidR="0072674C" w:rsidRPr="00C304B6">
        <w:rPr>
          <w:rStyle w:val="Refdenotaalpie"/>
          <w:b/>
          <w:i/>
          <w:sz w:val="24"/>
          <w:szCs w:val="24"/>
        </w:rPr>
        <w:footnoteReference w:id="25"/>
      </w:r>
      <w:bookmarkEnd w:id="21"/>
      <w:bookmarkEnd w:id="22"/>
    </w:p>
    <w:p w:rsidR="00BC74AC" w:rsidRDefault="00BC74AC" w:rsidP="00BC74AC"/>
    <w:p w:rsidR="00DD305F" w:rsidRDefault="00BC74AC">
      <w:pPr>
        <w:jc w:val="both"/>
        <w:rPr>
          <w:b/>
          <w:i/>
          <w:sz w:val="24"/>
          <w:szCs w:val="24"/>
        </w:rPr>
      </w:pPr>
      <w:r w:rsidRPr="00687649">
        <w:rPr>
          <w:b/>
          <w:i/>
          <w:sz w:val="24"/>
          <w:szCs w:val="24"/>
        </w:rPr>
        <w:t xml:space="preserve">Sobre los actores individuales involucrados en hechos de corrupción,. </w:t>
      </w:r>
      <w:r w:rsidR="0072674C" w:rsidRPr="00687649">
        <w:rPr>
          <w:b/>
          <w:i/>
          <w:sz w:val="24"/>
          <w:szCs w:val="24"/>
        </w:rPr>
        <w:t>El 6</w:t>
      </w:r>
      <w:r w:rsidR="00496DFD">
        <w:rPr>
          <w:b/>
          <w:i/>
          <w:sz w:val="24"/>
          <w:szCs w:val="24"/>
        </w:rPr>
        <w:t>9</w:t>
      </w:r>
      <w:r w:rsidR="0072674C" w:rsidRPr="00687649">
        <w:rPr>
          <w:b/>
          <w:i/>
          <w:sz w:val="24"/>
          <w:szCs w:val="24"/>
        </w:rPr>
        <w:t>% de los actores i</w:t>
      </w:r>
      <w:r w:rsidR="004D1A43" w:rsidRPr="00687649">
        <w:rPr>
          <w:b/>
          <w:i/>
          <w:sz w:val="24"/>
          <w:szCs w:val="24"/>
        </w:rPr>
        <w:t>ndividuales i</w:t>
      </w:r>
      <w:r w:rsidR="0072674C" w:rsidRPr="00687649">
        <w:rPr>
          <w:b/>
          <w:i/>
          <w:sz w:val="24"/>
          <w:szCs w:val="24"/>
        </w:rPr>
        <w:t>nvolucrados en los hechos registrados</w:t>
      </w:r>
      <w:r w:rsidR="004D1A43" w:rsidRPr="00687649">
        <w:rPr>
          <w:b/>
          <w:i/>
          <w:sz w:val="24"/>
          <w:szCs w:val="24"/>
        </w:rPr>
        <w:t xml:space="preserve"> por la prensa</w:t>
      </w:r>
      <w:r w:rsidR="0072674C" w:rsidRPr="00687649">
        <w:rPr>
          <w:b/>
          <w:i/>
          <w:sz w:val="24"/>
          <w:szCs w:val="24"/>
        </w:rPr>
        <w:t xml:space="preserve"> son servidores p</w:t>
      </w:r>
      <w:r w:rsidR="006662CB" w:rsidRPr="00687649">
        <w:rPr>
          <w:b/>
          <w:i/>
          <w:sz w:val="24"/>
          <w:szCs w:val="24"/>
        </w:rPr>
        <w:t>úblicos</w:t>
      </w:r>
      <w:r w:rsidR="00F7670A">
        <w:rPr>
          <w:b/>
          <w:i/>
          <w:sz w:val="24"/>
          <w:szCs w:val="24"/>
        </w:rPr>
        <w:t>: 39</w:t>
      </w:r>
      <w:r w:rsidR="003551DF">
        <w:rPr>
          <w:b/>
          <w:i/>
          <w:sz w:val="24"/>
          <w:szCs w:val="24"/>
        </w:rPr>
        <w:t xml:space="preserve">% </w:t>
      </w:r>
      <w:r w:rsidR="003551DF" w:rsidRPr="00687649">
        <w:rPr>
          <w:b/>
          <w:i/>
          <w:sz w:val="24"/>
          <w:szCs w:val="24"/>
        </w:rPr>
        <w:t>adscritos</w:t>
      </w:r>
      <w:r w:rsidR="004D1A43" w:rsidRPr="00687649">
        <w:rPr>
          <w:b/>
          <w:i/>
          <w:sz w:val="24"/>
          <w:szCs w:val="24"/>
        </w:rPr>
        <w:t xml:space="preserve"> temporalmente o a largo plazo a entidades </w:t>
      </w:r>
      <w:r w:rsidR="00960B25" w:rsidRPr="00687649">
        <w:rPr>
          <w:b/>
          <w:i/>
          <w:sz w:val="24"/>
          <w:szCs w:val="24"/>
        </w:rPr>
        <w:t>públicas y</w:t>
      </w:r>
      <w:r w:rsidR="006662CB" w:rsidRPr="00687649">
        <w:rPr>
          <w:b/>
          <w:i/>
          <w:sz w:val="24"/>
          <w:szCs w:val="24"/>
        </w:rPr>
        <w:t xml:space="preserve"> </w:t>
      </w:r>
      <w:r w:rsidR="00F7670A">
        <w:rPr>
          <w:b/>
          <w:i/>
          <w:sz w:val="24"/>
          <w:szCs w:val="24"/>
        </w:rPr>
        <w:t xml:space="preserve">30% </w:t>
      </w:r>
      <w:r w:rsidR="006662CB" w:rsidRPr="00687649">
        <w:rPr>
          <w:b/>
          <w:i/>
          <w:sz w:val="24"/>
          <w:szCs w:val="24"/>
        </w:rPr>
        <w:t>autoridades de elección popular</w:t>
      </w:r>
      <w:r w:rsidR="004D1A43" w:rsidRPr="00687649">
        <w:rPr>
          <w:b/>
          <w:i/>
          <w:sz w:val="24"/>
          <w:szCs w:val="24"/>
        </w:rPr>
        <w:t xml:space="preserve">. </w:t>
      </w:r>
    </w:p>
    <w:p w:rsidR="00AA4334" w:rsidRPr="00045624" w:rsidRDefault="004D1A43" w:rsidP="00045624">
      <w:pPr>
        <w:jc w:val="both"/>
        <w:rPr>
          <w:b/>
          <w:i/>
          <w:sz w:val="24"/>
          <w:szCs w:val="24"/>
        </w:rPr>
      </w:pPr>
      <w:r w:rsidRPr="00CF3D9A">
        <w:rPr>
          <w:b/>
          <w:i/>
          <w:sz w:val="24"/>
          <w:szCs w:val="24"/>
        </w:rPr>
        <w:t xml:space="preserve">En cuanto a actores colectivos involucrados en hechos de corrupción, el sector privado es el mayor protagonista, siendo las </w:t>
      </w:r>
      <w:r w:rsidR="00045624">
        <w:rPr>
          <w:b/>
          <w:i/>
          <w:sz w:val="24"/>
          <w:szCs w:val="24"/>
        </w:rPr>
        <w:t xml:space="preserve">empresas </w:t>
      </w:r>
      <w:r w:rsidRPr="00CF3D9A">
        <w:rPr>
          <w:b/>
          <w:i/>
          <w:sz w:val="24"/>
          <w:szCs w:val="24"/>
        </w:rPr>
        <w:t>(</w:t>
      </w:r>
      <w:r w:rsidR="00045624">
        <w:rPr>
          <w:b/>
          <w:i/>
          <w:sz w:val="24"/>
          <w:szCs w:val="24"/>
        </w:rPr>
        <w:t>73</w:t>
      </w:r>
      <w:r w:rsidRPr="00CF3D9A">
        <w:rPr>
          <w:b/>
          <w:i/>
          <w:sz w:val="24"/>
          <w:szCs w:val="24"/>
        </w:rPr>
        <w:t xml:space="preserve">%) las que ocupan el primer lugar, seguido de </w:t>
      </w:r>
      <w:r w:rsidR="00045624">
        <w:rPr>
          <w:b/>
          <w:i/>
          <w:sz w:val="24"/>
          <w:szCs w:val="24"/>
        </w:rPr>
        <w:t>instituciones prestadoras de salud (15</w:t>
      </w:r>
      <w:r w:rsidRPr="00CF3D9A">
        <w:rPr>
          <w:b/>
          <w:i/>
          <w:sz w:val="24"/>
          <w:szCs w:val="24"/>
        </w:rPr>
        <w:t>%</w:t>
      </w:r>
      <w:r w:rsidR="002F49EE" w:rsidRPr="00CF3D9A">
        <w:rPr>
          <w:b/>
          <w:i/>
          <w:sz w:val="24"/>
          <w:szCs w:val="24"/>
        </w:rPr>
        <w:t>),</w:t>
      </w:r>
      <w:r w:rsidRPr="00CF3D9A">
        <w:rPr>
          <w:b/>
          <w:i/>
          <w:sz w:val="24"/>
          <w:szCs w:val="24"/>
        </w:rPr>
        <w:t xml:space="preserve"> consorc</w:t>
      </w:r>
      <w:r w:rsidR="00045624">
        <w:rPr>
          <w:b/>
          <w:i/>
          <w:sz w:val="24"/>
          <w:szCs w:val="24"/>
        </w:rPr>
        <w:t>ios (9%) y uniones temporales (3</w:t>
      </w:r>
      <w:r w:rsidRPr="00CF3D9A">
        <w:rPr>
          <w:b/>
          <w:i/>
          <w:sz w:val="24"/>
          <w:szCs w:val="24"/>
        </w:rPr>
        <w:t xml:space="preserve">%) </w:t>
      </w:r>
      <w:bookmarkStart w:id="23" w:name="_Toc519496654"/>
    </w:p>
    <w:p w:rsidR="00FC5B84" w:rsidRPr="0066096D" w:rsidRDefault="004C74E6" w:rsidP="0066096D">
      <w:pPr>
        <w:pStyle w:val="Ttulo3"/>
        <w:jc w:val="center"/>
        <w:rPr>
          <w:rFonts w:asciiTheme="minorHAnsi" w:eastAsiaTheme="minorEastAsia" w:hAnsiTheme="minorHAnsi" w:cstheme="minorBidi"/>
          <w:b/>
          <w:color w:val="auto"/>
          <w:sz w:val="24"/>
          <w:szCs w:val="24"/>
        </w:rPr>
      </w:pPr>
      <w:bookmarkStart w:id="24" w:name="_Toc4077120"/>
      <w:bookmarkStart w:id="25" w:name="_Toc4077243"/>
      <w:r w:rsidRPr="004C74E6">
        <w:rPr>
          <w:rFonts w:asciiTheme="minorHAnsi" w:eastAsiaTheme="minorEastAsia" w:hAnsiTheme="minorHAnsi" w:cstheme="minorBidi"/>
          <w:b/>
          <w:color w:val="auto"/>
          <w:sz w:val="24"/>
          <w:szCs w:val="24"/>
        </w:rPr>
        <w:t xml:space="preserve">Tabla # </w:t>
      </w:r>
      <w:r w:rsidR="004158E6">
        <w:rPr>
          <w:rFonts w:asciiTheme="minorHAnsi" w:eastAsiaTheme="minorEastAsia" w:hAnsiTheme="minorHAnsi" w:cstheme="minorBidi"/>
          <w:b/>
          <w:color w:val="auto"/>
          <w:sz w:val="24"/>
          <w:szCs w:val="24"/>
        </w:rPr>
        <w:t>1</w:t>
      </w:r>
      <w:r w:rsidR="00055E86">
        <w:rPr>
          <w:rFonts w:asciiTheme="minorHAnsi" w:eastAsiaTheme="minorEastAsia" w:hAnsiTheme="minorHAnsi" w:cstheme="minorBidi"/>
          <w:b/>
          <w:color w:val="auto"/>
          <w:sz w:val="24"/>
          <w:szCs w:val="24"/>
        </w:rPr>
        <w:t xml:space="preserve">: </w:t>
      </w:r>
      <w:r w:rsidR="00235EAB">
        <w:rPr>
          <w:rFonts w:asciiTheme="minorHAnsi" w:eastAsiaTheme="minorEastAsia" w:hAnsiTheme="minorHAnsi" w:cstheme="minorBidi"/>
          <w:b/>
          <w:color w:val="auto"/>
          <w:sz w:val="24"/>
          <w:szCs w:val="24"/>
        </w:rPr>
        <w:t xml:space="preserve">Porcentaje de </w:t>
      </w:r>
      <w:r w:rsidRPr="004C74E6">
        <w:rPr>
          <w:rFonts w:asciiTheme="minorHAnsi" w:eastAsiaTheme="minorEastAsia" w:hAnsiTheme="minorHAnsi" w:cstheme="minorBidi"/>
          <w:b/>
          <w:color w:val="auto"/>
          <w:sz w:val="24"/>
          <w:szCs w:val="24"/>
        </w:rPr>
        <w:t xml:space="preserve">actores individuales </w:t>
      </w:r>
      <w:r w:rsidR="00FC5B84" w:rsidRPr="004C74E6">
        <w:rPr>
          <w:rFonts w:asciiTheme="minorHAnsi" w:eastAsiaTheme="minorEastAsia" w:hAnsiTheme="minorHAnsi" w:cstheme="minorBidi"/>
          <w:b/>
          <w:color w:val="auto"/>
          <w:sz w:val="24"/>
          <w:szCs w:val="24"/>
        </w:rPr>
        <w:t>involucrados</w:t>
      </w:r>
      <w:bookmarkEnd w:id="23"/>
      <w:r w:rsidRPr="004C74E6">
        <w:rPr>
          <w:rFonts w:asciiTheme="minorHAnsi" w:eastAsiaTheme="minorEastAsia" w:hAnsiTheme="minorHAnsi" w:cstheme="minorBidi"/>
          <w:b/>
          <w:color w:val="auto"/>
          <w:sz w:val="24"/>
          <w:szCs w:val="24"/>
        </w:rPr>
        <w:t xml:space="preserve"> en hechos de corrupción </w:t>
      </w:r>
      <w:r w:rsidR="00235EAB">
        <w:rPr>
          <w:rFonts w:asciiTheme="minorHAnsi" w:eastAsiaTheme="minorEastAsia" w:hAnsiTheme="minorHAnsi" w:cstheme="minorBidi"/>
          <w:b/>
          <w:color w:val="auto"/>
          <w:sz w:val="24"/>
          <w:szCs w:val="24"/>
        </w:rPr>
        <w:t>reporta</w:t>
      </w:r>
      <w:r w:rsidR="001020B4">
        <w:rPr>
          <w:rFonts w:asciiTheme="minorHAnsi" w:eastAsiaTheme="minorEastAsia" w:hAnsiTheme="minorHAnsi" w:cstheme="minorBidi"/>
          <w:b/>
          <w:color w:val="auto"/>
          <w:sz w:val="24"/>
          <w:szCs w:val="24"/>
        </w:rPr>
        <w:t>d</w:t>
      </w:r>
      <w:r w:rsidR="00235EAB">
        <w:rPr>
          <w:rFonts w:asciiTheme="minorHAnsi" w:eastAsiaTheme="minorEastAsia" w:hAnsiTheme="minorHAnsi" w:cstheme="minorBidi"/>
          <w:b/>
          <w:color w:val="auto"/>
          <w:sz w:val="24"/>
          <w:szCs w:val="24"/>
        </w:rPr>
        <w:t xml:space="preserve">os por la prensa </w:t>
      </w:r>
      <w:r w:rsidRPr="004C74E6">
        <w:rPr>
          <w:rFonts w:asciiTheme="minorHAnsi" w:eastAsiaTheme="minorEastAsia" w:hAnsiTheme="minorHAnsi" w:cstheme="minorBidi"/>
          <w:b/>
          <w:color w:val="auto"/>
          <w:sz w:val="24"/>
          <w:szCs w:val="24"/>
        </w:rPr>
        <w:t>entre 2016 y 2018</w:t>
      </w:r>
      <w:bookmarkEnd w:id="24"/>
      <w:bookmarkEnd w:id="25"/>
    </w:p>
    <w:tbl>
      <w:tblPr>
        <w:tblW w:w="8848" w:type="dxa"/>
        <w:tblInd w:w="65" w:type="dxa"/>
        <w:tblCellMar>
          <w:left w:w="70" w:type="dxa"/>
          <w:right w:w="70" w:type="dxa"/>
        </w:tblCellMar>
        <w:tblLook w:val="04A0"/>
      </w:tblPr>
      <w:tblGrid>
        <w:gridCol w:w="6904"/>
        <w:gridCol w:w="1944"/>
      </w:tblGrid>
      <w:tr w:rsidR="008A65C7" w:rsidRPr="00235EAB" w:rsidTr="0086427F">
        <w:trPr>
          <w:trHeight w:val="315"/>
        </w:trPr>
        <w:tc>
          <w:tcPr>
            <w:tcW w:w="6904" w:type="dxa"/>
            <w:tcBorders>
              <w:top w:val="single" w:sz="4" w:space="0" w:color="auto"/>
              <w:left w:val="single" w:sz="4" w:space="0" w:color="auto"/>
              <w:bottom w:val="single" w:sz="4" w:space="0" w:color="auto"/>
              <w:right w:val="single" w:sz="4" w:space="0" w:color="auto"/>
            </w:tcBorders>
            <w:shd w:val="clear" w:color="DBE5F1" w:fill="DBE5F1"/>
            <w:noWrap/>
            <w:vAlign w:val="bottom"/>
            <w:hideMark/>
          </w:tcPr>
          <w:p w:rsidR="008A65C7" w:rsidRPr="00235EAB" w:rsidRDefault="008A65C7" w:rsidP="0086427F">
            <w:pPr>
              <w:spacing w:after="0" w:line="240" w:lineRule="auto"/>
              <w:rPr>
                <w:rFonts w:ascii="Calibri" w:eastAsia="Times New Roman" w:hAnsi="Calibri" w:cs="Times New Roman"/>
                <w:b/>
                <w:bCs/>
                <w:color w:val="000000"/>
                <w:lang w:eastAsia="es-CO"/>
              </w:rPr>
            </w:pPr>
            <w:r w:rsidRPr="00235EAB">
              <w:rPr>
                <w:rFonts w:ascii="Calibri" w:eastAsia="Times New Roman" w:hAnsi="Calibri" w:cs="Times New Roman"/>
                <w:b/>
                <w:bCs/>
                <w:color w:val="000000"/>
                <w:lang w:eastAsia="es-CO"/>
              </w:rPr>
              <w:t>Actor</w:t>
            </w:r>
            <w:r>
              <w:rPr>
                <w:rFonts w:ascii="Calibri" w:eastAsia="Times New Roman" w:hAnsi="Calibri" w:cs="Times New Roman"/>
                <w:b/>
                <w:bCs/>
                <w:color w:val="000000"/>
                <w:lang w:eastAsia="es-CO"/>
              </w:rPr>
              <w:t>es</w:t>
            </w:r>
            <w:r w:rsidRPr="00235EAB">
              <w:rPr>
                <w:rFonts w:ascii="Calibri" w:eastAsia="Times New Roman" w:hAnsi="Calibri" w:cs="Times New Roman"/>
                <w:b/>
                <w:bCs/>
                <w:color w:val="000000"/>
                <w:lang w:eastAsia="es-CO"/>
              </w:rPr>
              <w:t xml:space="preserve"> individual</w:t>
            </w:r>
            <w:r>
              <w:rPr>
                <w:rFonts w:ascii="Calibri" w:eastAsia="Times New Roman" w:hAnsi="Calibri" w:cs="Times New Roman"/>
                <w:b/>
                <w:bCs/>
                <w:color w:val="000000"/>
                <w:lang w:eastAsia="es-CO"/>
              </w:rPr>
              <w:t xml:space="preserve">es </w:t>
            </w:r>
          </w:p>
        </w:tc>
        <w:tc>
          <w:tcPr>
            <w:tcW w:w="1944" w:type="dxa"/>
            <w:tcBorders>
              <w:top w:val="single" w:sz="4" w:space="0" w:color="auto"/>
              <w:left w:val="nil"/>
              <w:bottom w:val="single" w:sz="4" w:space="0" w:color="auto"/>
              <w:right w:val="single" w:sz="4" w:space="0" w:color="auto"/>
            </w:tcBorders>
            <w:shd w:val="clear" w:color="DBE5F1" w:fill="DBE5F1"/>
            <w:noWrap/>
            <w:vAlign w:val="bottom"/>
            <w:hideMark/>
          </w:tcPr>
          <w:p w:rsidR="008A65C7" w:rsidRPr="00235EAB" w:rsidRDefault="008A65C7" w:rsidP="0086427F">
            <w:pPr>
              <w:spacing w:after="0" w:line="240" w:lineRule="auto"/>
              <w:rPr>
                <w:rFonts w:ascii="Calibri" w:eastAsia="Times New Roman" w:hAnsi="Calibri" w:cs="Times New Roman"/>
                <w:b/>
                <w:bCs/>
                <w:color w:val="000000"/>
                <w:lang w:eastAsia="es-CO"/>
              </w:rPr>
            </w:pPr>
            <w:r w:rsidRPr="00235EAB">
              <w:rPr>
                <w:rFonts w:ascii="Calibri" w:eastAsia="Times New Roman" w:hAnsi="Calibri" w:cs="Times New Roman"/>
                <w:b/>
                <w:bCs/>
                <w:color w:val="000000"/>
                <w:lang w:eastAsia="es-CO"/>
              </w:rPr>
              <w:t>Porcentaje</w:t>
            </w:r>
          </w:p>
        </w:tc>
      </w:tr>
      <w:tr w:rsidR="008A65C7" w:rsidRPr="00235EAB" w:rsidTr="0086427F">
        <w:trPr>
          <w:trHeight w:val="300"/>
        </w:trPr>
        <w:tc>
          <w:tcPr>
            <w:tcW w:w="6904" w:type="dxa"/>
            <w:tcBorders>
              <w:top w:val="nil"/>
              <w:left w:val="single" w:sz="4" w:space="0" w:color="auto"/>
              <w:bottom w:val="single" w:sz="4" w:space="0" w:color="auto"/>
              <w:right w:val="single" w:sz="4" w:space="0" w:color="auto"/>
            </w:tcBorders>
            <w:shd w:val="clear" w:color="auto" w:fill="auto"/>
            <w:noWrap/>
            <w:vAlign w:val="bottom"/>
            <w:hideMark/>
          </w:tcPr>
          <w:p w:rsidR="008A65C7" w:rsidRPr="00235EAB" w:rsidRDefault="008A65C7" w:rsidP="0086427F">
            <w:pPr>
              <w:spacing w:after="0" w:line="240" w:lineRule="auto"/>
              <w:rPr>
                <w:rFonts w:ascii="Calibri" w:eastAsia="Times New Roman" w:hAnsi="Calibri" w:cs="Times New Roman"/>
                <w:color w:val="000000"/>
                <w:lang w:eastAsia="es-CO"/>
              </w:rPr>
            </w:pPr>
            <w:r w:rsidRPr="00235EAB">
              <w:rPr>
                <w:rFonts w:ascii="Calibri" w:eastAsia="Times New Roman" w:hAnsi="Calibri" w:cs="Times New Roman"/>
                <w:color w:val="000000"/>
                <w:lang w:eastAsia="es-CO"/>
              </w:rPr>
              <w:t>Servidores públicos</w:t>
            </w:r>
          </w:p>
        </w:tc>
        <w:tc>
          <w:tcPr>
            <w:tcW w:w="1944" w:type="dxa"/>
            <w:tcBorders>
              <w:top w:val="nil"/>
              <w:left w:val="nil"/>
              <w:bottom w:val="single" w:sz="4" w:space="0" w:color="auto"/>
              <w:right w:val="single" w:sz="4" w:space="0" w:color="auto"/>
            </w:tcBorders>
            <w:shd w:val="clear" w:color="auto" w:fill="auto"/>
            <w:noWrap/>
            <w:vAlign w:val="bottom"/>
            <w:hideMark/>
          </w:tcPr>
          <w:p w:rsidR="008A65C7" w:rsidRPr="00235EAB" w:rsidRDefault="008A65C7" w:rsidP="0086427F">
            <w:pPr>
              <w:spacing w:after="0" w:line="240" w:lineRule="auto"/>
              <w:rPr>
                <w:rFonts w:ascii="Calibri" w:eastAsia="Times New Roman" w:hAnsi="Calibri" w:cs="Times New Roman"/>
                <w:color w:val="000000"/>
                <w:lang w:eastAsia="es-CO"/>
              </w:rPr>
            </w:pPr>
            <w:r w:rsidRPr="00235EAB">
              <w:rPr>
                <w:rFonts w:ascii="Calibri" w:eastAsia="Times New Roman" w:hAnsi="Calibri" w:cs="Times New Roman"/>
                <w:color w:val="000000"/>
                <w:lang w:eastAsia="es-CO"/>
              </w:rPr>
              <w:t>39%</w:t>
            </w:r>
          </w:p>
        </w:tc>
      </w:tr>
      <w:tr w:rsidR="008A65C7" w:rsidRPr="00235EAB" w:rsidTr="0086427F">
        <w:trPr>
          <w:trHeight w:val="300"/>
        </w:trPr>
        <w:tc>
          <w:tcPr>
            <w:tcW w:w="6904" w:type="dxa"/>
            <w:tcBorders>
              <w:top w:val="nil"/>
              <w:left w:val="single" w:sz="4" w:space="0" w:color="auto"/>
              <w:bottom w:val="single" w:sz="4" w:space="0" w:color="auto"/>
              <w:right w:val="single" w:sz="4" w:space="0" w:color="auto"/>
            </w:tcBorders>
            <w:shd w:val="clear" w:color="auto" w:fill="auto"/>
            <w:noWrap/>
            <w:vAlign w:val="bottom"/>
            <w:hideMark/>
          </w:tcPr>
          <w:p w:rsidR="008A65C7" w:rsidRPr="00235EAB" w:rsidRDefault="008A65C7" w:rsidP="0086427F">
            <w:pPr>
              <w:spacing w:after="0" w:line="240" w:lineRule="auto"/>
              <w:rPr>
                <w:rFonts w:ascii="Calibri" w:eastAsia="Times New Roman" w:hAnsi="Calibri" w:cs="Times New Roman"/>
                <w:color w:val="000000"/>
                <w:lang w:eastAsia="es-CO"/>
              </w:rPr>
            </w:pPr>
            <w:r w:rsidRPr="00235EAB">
              <w:rPr>
                <w:rFonts w:ascii="Calibri" w:eastAsia="Times New Roman" w:hAnsi="Calibri" w:cs="Times New Roman"/>
                <w:color w:val="000000"/>
                <w:lang w:eastAsia="es-CO"/>
              </w:rPr>
              <w:t>Autoridad electa por votación popular</w:t>
            </w:r>
          </w:p>
        </w:tc>
        <w:tc>
          <w:tcPr>
            <w:tcW w:w="1944" w:type="dxa"/>
            <w:tcBorders>
              <w:top w:val="nil"/>
              <w:left w:val="nil"/>
              <w:bottom w:val="single" w:sz="4" w:space="0" w:color="auto"/>
              <w:right w:val="single" w:sz="4" w:space="0" w:color="auto"/>
            </w:tcBorders>
            <w:shd w:val="clear" w:color="auto" w:fill="auto"/>
            <w:noWrap/>
            <w:vAlign w:val="bottom"/>
            <w:hideMark/>
          </w:tcPr>
          <w:p w:rsidR="008A65C7" w:rsidRPr="00235EAB" w:rsidRDefault="008A65C7" w:rsidP="0086427F">
            <w:pPr>
              <w:spacing w:after="0" w:line="240" w:lineRule="auto"/>
              <w:rPr>
                <w:rFonts w:ascii="Calibri" w:eastAsia="Times New Roman" w:hAnsi="Calibri" w:cs="Times New Roman"/>
                <w:color w:val="000000"/>
                <w:lang w:eastAsia="es-CO"/>
              </w:rPr>
            </w:pPr>
            <w:r w:rsidRPr="00235EAB">
              <w:rPr>
                <w:rFonts w:ascii="Calibri" w:eastAsia="Times New Roman" w:hAnsi="Calibri" w:cs="Times New Roman"/>
                <w:color w:val="000000"/>
                <w:lang w:eastAsia="es-CO"/>
              </w:rPr>
              <w:t>30%</w:t>
            </w:r>
          </w:p>
        </w:tc>
      </w:tr>
      <w:tr w:rsidR="008A65C7" w:rsidRPr="00235EAB" w:rsidTr="0086427F">
        <w:trPr>
          <w:trHeight w:val="300"/>
        </w:trPr>
        <w:tc>
          <w:tcPr>
            <w:tcW w:w="6904" w:type="dxa"/>
            <w:tcBorders>
              <w:top w:val="nil"/>
              <w:left w:val="single" w:sz="4" w:space="0" w:color="auto"/>
              <w:bottom w:val="single" w:sz="4" w:space="0" w:color="auto"/>
              <w:right w:val="single" w:sz="4" w:space="0" w:color="auto"/>
            </w:tcBorders>
            <w:shd w:val="clear" w:color="auto" w:fill="auto"/>
            <w:noWrap/>
            <w:vAlign w:val="bottom"/>
            <w:hideMark/>
          </w:tcPr>
          <w:p w:rsidR="008A65C7" w:rsidRPr="00235EAB" w:rsidRDefault="008A65C7" w:rsidP="0086427F">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Miembro del sector privado </w:t>
            </w:r>
          </w:p>
        </w:tc>
        <w:tc>
          <w:tcPr>
            <w:tcW w:w="1944" w:type="dxa"/>
            <w:tcBorders>
              <w:top w:val="nil"/>
              <w:left w:val="nil"/>
              <w:bottom w:val="single" w:sz="4" w:space="0" w:color="auto"/>
              <w:right w:val="single" w:sz="4" w:space="0" w:color="auto"/>
            </w:tcBorders>
            <w:shd w:val="clear" w:color="auto" w:fill="auto"/>
            <w:noWrap/>
            <w:vAlign w:val="bottom"/>
            <w:hideMark/>
          </w:tcPr>
          <w:p w:rsidR="008A65C7" w:rsidRPr="00235EAB" w:rsidRDefault="008A65C7" w:rsidP="0086427F">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16% </w:t>
            </w:r>
          </w:p>
        </w:tc>
      </w:tr>
      <w:tr w:rsidR="008A65C7" w:rsidRPr="00235EAB" w:rsidTr="0086427F">
        <w:trPr>
          <w:trHeight w:val="300"/>
        </w:trPr>
        <w:tc>
          <w:tcPr>
            <w:tcW w:w="6904" w:type="dxa"/>
            <w:tcBorders>
              <w:top w:val="nil"/>
              <w:left w:val="single" w:sz="4" w:space="0" w:color="auto"/>
              <w:bottom w:val="single" w:sz="4" w:space="0" w:color="auto"/>
              <w:right w:val="single" w:sz="4" w:space="0" w:color="auto"/>
            </w:tcBorders>
            <w:shd w:val="clear" w:color="auto" w:fill="auto"/>
            <w:noWrap/>
            <w:vAlign w:val="bottom"/>
            <w:hideMark/>
          </w:tcPr>
          <w:p w:rsidR="008A65C7" w:rsidRDefault="008A65C7" w:rsidP="0086427F">
            <w:pPr>
              <w:spacing w:after="0" w:line="240" w:lineRule="auto"/>
              <w:rPr>
                <w:rFonts w:ascii="Calibri" w:eastAsia="Times New Roman" w:hAnsi="Calibri" w:cs="Times New Roman"/>
                <w:color w:val="000000"/>
                <w:lang w:eastAsia="es-CO"/>
              </w:rPr>
            </w:pPr>
            <w:r w:rsidRPr="00235EAB">
              <w:rPr>
                <w:rFonts w:ascii="Calibri" w:eastAsia="Times New Roman" w:hAnsi="Calibri" w:cs="Times New Roman"/>
                <w:color w:val="000000"/>
                <w:lang w:eastAsia="es-CO"/>
              </w:rPr>
              <w:t>Miembro del tercer sector</w:t>
            </w:r>
          </w:p>
        </w:tc>
        <w:tc>
          <w:tcPr>
            <w:tcW w:w="1944" w:type="dxa"/>
            <w:tcBorders>
              <w:top w:val="nil"/>
              <w:left w:val="nil"/>
              <w:bottom w:val="single" w:sz="4" w:space="0" w:color="auto"/>
              <w:right w:val="single" w:sz="4" w:space="0" w:color="auto"/>
            </w:tcBorders>
            <w:shd w:val="clear" w:color="auto" w:fill="auto"/>
            <w:noWrap/>
            <w:vAlign w:val="bottom"/>
            <w:hideMark/>
          </w:tcPr>
          <w:p w:rsidR="008A65C7" w:rsidRDefault="008A65C7" w:rsidP="0086427F">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8%</w:t>
            </w:r>
          </w:p>
        </w:tc>
      </w:tr>
      <w:tr w:rsidR="008A65C7" w:rsidRPr="00235EAB" w:rsidTr="0086427F">
        <w:trPr>
          <w:trHeight w:val="300"/>
        </w:trPr>
        <w:tc>
          <w:tcPr>
            <w:tcW w:w="6904" w:type="dxa"/>
            <w:tcBorders>
              <w:top w:val="nil"/>
              <w:left w:val="single" w:sz="4" w:space="0" w:color="auto"/>
              <w:bottom w:val="single" w:sz="4" w:space="0" w:color="auto"/>
              <w:right w:val="single" w:sz="4" w:space="0" w:color="auto"/>
            </w:tcBorders>
            <w:shd w:val="clear" w:color="auto" w:fill="auto"/>
            <w:noWrap/>
            <w:vAlign w:val="bottom"/>
            <w:hideMark/>
          </w:tcPr>
          <w:p w:rsidR="008A65C7" w:rsidRPr="00235EAB" w:rsidRDefault="008A65C7" w:rsidP="0086427F">
            <w:pPr>
              <w:spacing w:after="0" w:line="240" w:lineRule="auto"/>
              <w:rPr>
                <w:rFonts w:ascii="Calibri" w:eastAsia="Times New Roman" w:hAnsi="Calibri" w:cs="Times New Roman"/>
                <w:color w:val="000000"/>
                <w:lang w:eastAsia="es-CO"/>
              </w:rPr>
            </w:pPr>
            <w:r w:rsidRPr="00235EAB">
              <w:rPr>
                <w:rFonts w:ascii="Calibri" w:eastAsia="Times New Roman" w:hAnsi="Calibri" w:cs="Times New Roman"/>
                <w:color w:val="000000"/>
                <w:lang w:eastAsia="es-CO"/>
              </w:rPr>
              <w:t>Miembro de las Fuerza Pública</w:t>
            </w:r>
          </w:p>
        </w:tc>
        <w:tc>
          <w:tcPr>
            <w:tcW w:w="1944" w:type="dxa"/>
            <w:tcBorders>
              <w:top w:val="nil"/>
              <w:left w:val="nil"/>
              <w:bottom w:val="single" w:sz="4" w:space="0" w:color="auto"/>
              <w:right w:val="single" w:sz="4" w:space="0" w:color="auto"/>
            </w:tcBorders>
            <w:shd w:val="clear" w:color="auto" w:fill="auto"/>
            <w:noWrap/>
            <w:vAlign w:val="bottom"/>
            <w:hideMark/>
          </w:tcPr>
          <w:p w:rsidR="008A65C7" w:rsidRPr="00235EAB" w:rsidRDefault="008A65C7" w:rsidP="0086427F">
            <w:pPr>
              <w:spacing w:after="0" w:line="240" w:lineRule="auto"/>
              <w:rPr>
                <w:rFonts w:ascii="Calibri" w:eastAsia="Times New Roman" w:hAnsi="Calibri" w:cs="Times New Roman"/>
                <w:color w:val="000000"/>
                <w:lang w:eastAsia="es-CO"/>
              </w:rPr>
            </w:pPr>
            <w:r w:rsidRPr="00235EAB">
              <w:rPr>
                <w:rFonts w:ascii="Calibri" w:eastAsia="Times New Roman" w:hAnsi="Calibri" w:cs="Times New Roman"/>
                <w:color w:val="000000"/>
                <w:lang w:eastAsia="es-CO"/>
              </w:rPr>
              <w:t>4%</w:t>
            </w:r>
          </w:p>
        </w:tc>
      </w:tr>
      <w:tr w:rsidR="008A65C7" w:rsidRPr="00235EAB" w:rsidTr="0086427F">
        <w:trPr>
          <w:trHeight w:val="300"/>
        </w:trPr>
        <w:tc>
          <w:tcPr>
            <w:tcW w:w="6904" w:type="dxa"/>
            <w:tcBorders>
              <w:top w:val="nil"/>
              <w:left w:val="single" w:sz="4" w:space="0" w:color="auto"/>
              <w:bottom w:val="single" w:sz="4" w:space="0" w:color="auto"/>
              <w:right w:val="single" w:sz="4" w:space="0" w:color="auto"/>
            </w:tcBorders>
            <w:shd w:val="clear" w:color="auto" w:fill="auto"/>
            <w:noWrap/>
            <w:vAlign w:val="bottom"/>
            <w:hideMark/>
          </w:tcPr>
          <w:p w:rsidR="008A65C7" w:rsidRPr="00235EAB" w:rsidRDefault="008A65C7" w:rsidP="0086427F">
            <w:pPr>
              <w:spacing w:after="0" w:line="240" w:lineRule="auto"/>
              <w:rPr>
                <w:rFonts w:ascii="Calibri" w:eastAsia="Times New Roman" w:hAnsi="Calibri" w:cs="Times New Roman"/>
                <w:color w:val="000000"/>
                <w:lang w:eastAsia="es-CO"/>
              </w:rPr>
            </w:pPr>
            <w:r w:rsidRPr="00235EAB">
              <w:rPr>
                <w:rFonts w:ascii="Calibri" w:eastAsia="Times New Roman" w:hAnsi="Calibri" w:cs="Times New Roman"/>
                <w:color w:val="000000"/>
                <w:lang w:eastAsia="es-CO"/>
              </w:rPr>
              <w:t>Actor vinculado a economía ilegal</w:t>
            </w:r>
          </w:p>
        </w:tc>
        <w:tc>
          <w:tcPr>
            <w:tcW w:w="1944" w:type="dxa"/>
            <w:tcBorders>
              <w:top w:val="nil"/>
              <w:left w:val="nil"/>
              <w:bottom w:val="single" w:sz="4" w:space="0" w:color="auto"/>
              <w:right w:val="single" w:sz="4" w:space="0" w:color="auto"/>
            </w:tcBorders>
            <w:shd w:val="clear" w:color="auto" w:fill="auto"/>
            <w:noWrap/>
            <w:vAlign w:val="bottom"/>
            <w:hideMark/>
          </w:tcPr>
          <w:p w:rsidR="008A65C7" w:rsidRPr="00235EAB" w:rsidRDefault="008A65C7" w:rsidP="0086427F">
            <w:pPr>
              <w:spacing w:after="0" w:line="240" w:lineRule="auto"/>
              <w:rPr>
                <w:rFonts w:ascii="Calibri" w:eastAsia="Times New Roman" w:hAnsi="Calibri" w:cs="Times New Roman"/>
                <w:color w:val="000000"/>
                <w:lang w:eastAsia="es-CO"/>
              </w:rPr>
            </w:pPr>
            <w:r w:rsidRPr="00235EAB">
              <w:rPr>
                <w:rFonts w:ascii="Calibri" w:eastAsia="Times New Roman" w:hAnsi="Calibri" w:cs="Times New Roman"/>
                <w:color w:val="000000"/>
                <w:lang w:eastAsia="es-CO"/>
              </w:rPr>
              <w:t>2%</w:t>
            </w:r>
          </w:p>
        </w:tc>
      </w:tr>
      <w:tr w:rsidR="008A65C7" w:rsidRPr="00235EAB" w:rsidTr="0086427F">
        <w:trPr>
          <w:trHeight w:val="300"/>
        </w:trPr>
        <w:tc>
          <w:tcPr>
            <w:tcW w:w="6904" w:type="dxa"/>
            <w:tcBorders>
              <w:top w:val="nil"/>
              <w:left w:val="single" w:sz="4" w:space="0" w:color="auto"/>
              <w:bottom w:val="single" w:sz="4" w:space="0" w:color="auto"/>
              <w:right w:val="single" w:sz="4" w:space="0" w:color="auto"/>
            </w:tcBorders>
            <w:shd w:val="clear" w:color="auto" w:fill="auto"/>
            <w:noWrap/>
            <w:vAlign w:val="bottom"/>
            <w:hideMark/>
          </w:tcPr>
          <w:p w:rsidR="008A65C7" w:rsidRPr="00235EAB" w:rsidRDefault="008A65C7" w:rsidP="0086427F">
            <w:pPr>
              <w:spacing w:after="0" w:line="240" w:lineRule="auto"/>
              <w:rPr>
                <w:rFonts w:ascii="Calibri" w:eastAsia="Times New Roman" w:hAnsi="Calibri" w:cs="Times New Roman"/>
                <w:color w:val="000000"/>
                <w:lang w:eastAsia="es-CO"/>
              </w:rPr>
            </w:pPr>
            <w:r w:rsidRPr="00235EAB">
              <w:rPr>
                <w:rFonts w:ascii="Calibri" w:eastAsia="Times New Roman" w:hAnsi="Calibri" w:cs="Times New Roman"/>
                <w:color w:val="000000"/>
                <w:lang w:eastAsia="es-CO"/>
              </w:rPr>
              <w:t>Miembro de Partido político, movimiento y/o grupo significativo de ciudadanos</w:t>
            </w:r>
          </w:p>
        </w:tc>
        <w:tc>
          <w:tcPr>
            <w:tcW w:w="1944" w:type="dxa"/>
            <w:tcBorders>
              <w:top w:val="nil"/>
              <w:left w:val="nil"/>
              <w:bottom w:val="single" w:sz="4" w:space="0" w:color="auto"/>
              <w:right w:val="single" w:sz="4" w:space="0" w:color="auto"/>
            </w:tcBorders>
            <w:shd w:val="clear" w:color="auto" w:fill="auto"/>
            <w:noWrap/>
            <w:vAlign w:val="bottom"/>
            <w:hideMark/>
          </w:tcPr>
          <w:p w:rsidR="008A65C7" w:rsidRPr="00235EAB" w:rsidRDefault="008A65C7" w:rsidP="0086427F">
            <w:pPr>
              <w:spacing w:after="0" w:line="240" w:lineRule="auto"/>
              <w:rPr>
                <w:rFonts w:ascii="Calibri" w:eastAsia="Times New Roman" w:hAnsi="Calibri" w:cs="Times New Roman"/>
                <w:color w:val="000000"/>
                <w:lang w:eastAsia="es-CO"/>
              </w:rPr>
            </w:pPr>
            <w:r w:rsidRPr="00235EAB">
              <w:rPr>
                <w:rFonts w:ascii="Calibri" w:eastAsia="Times New Roman" w:hAnsi="Calibri" w:cs="Times New Roman"/>
                <w:color w:val="000000"/>
                <w:lang w:eastAsia="es-CO"/>
              </w:rPr>
              <w:t>1%</w:t>
            </w:r>
          </w:p>
        </w:tc>
      </w:tr>
      <w:tr w:rsidR="008A65C7" w:rsidRPr="00235EAB" w:rsidTr="0086427F">
        <w:trPr>
          <w:trHeight w:val="300"/>
        </w:trPr>
        <w:tc>
          <w:tcPr>
            <w:tcW w:w="6904" w:type="dxa"/>
            <w:tcBorders>
              <w:top w:val="nil"/>
              <w:left w:val="single" w:sz="4" w:space="0" w:color="auto"/>
              <w:bottom w:val="single" w:sz="4" w:space="0" w:color="auto"/>
              <w:right w:val="single" w:sz="4" w:space="0" w:color="auto"/>
            </w:tcBorders>
            <w:shd w:val="clear" w:color="auto" w:fill="auto"/>
            <w:noWrap/>
            <w:vAlign w:val="bottom"/>
            <w:hideMark/>
          </w:tcPr>
          <w:p w:rsidR="008A65C7" w:rsidRPr="00235EAB" w:rsidRDefault="008A65C7" w:rsidP="0086427F">
            <w:pPr>
              <w:spacing w:after="0" w:line="240" w:lineRule="auto"/>
              <w:rPr>
                <w:rFonts w:ascii="Calibri" w:eastAsia="Times New Roman" w:hAnsi="Calibri" w:cs="Times New Roman"/>
                <w:color w:val="000000"/>
                <w:lang w:eastAsia="es-CO"/>
              </w:rPr>
            </w:pPr>
            <w:r w:rsidRPr="00235EAB">
              <w:rPr>
                <w:rFonts w:ascii="Calibri" w:eastAsia="Times New Roman" w:hAnsi="Calibri" w:cs="Times New Roman"/>
                <w:color w:val="000000"/>
                <w:lang w:eastAsia="es-CO"/>
              </w:rPr>
              <w:t>Otros</w:t>
            </w:r>
          </w:p>
        </w:tc>
        <w:tc>
          <w:tcPr>
            <w:tcW w:w="1944" w:type="dxa"/>
            <w:tcBorders>
              <w:top w:val="nil"/>
              <w:left w:val="nil"/>
              <w:bottom w:val="single" w:sz="4" w:space="0" w:color="auto"/>
              <w:right w:val="single" w:sz="4" w:space="0" w:color="auto"/>
            </w:tcBorders>
            <w:shd w:val="clear" w:color="auto" w:fill="auto"/>
            <w:noWrap/>
            <w:vAlign w:val="bottom"/>
            <w:hideMark/>
          </w:tcPr>
          <w:p w:rsidR="008A65C7" w:rsidRPr="00235EAB" w:rsidRDefault="008A65C7" w:rsidP="0086427F">
            <w:pPr>
              <w:spacing w:after="0" w:line="240" w:lineRule="auto"/>
              <w:rPr>
                <w:rFonts w:ascii="Calibri" w:eastAsia="Times New Roman" w:hAnsi="Calibri" w:cs="Times New Roman"/>
                <w:color w:val="000000"/>
                <w:lang w:eastAsia="es-CO"/>
              </w:rPr>
            </w:pPr>
            <w:r w:rsidRPr="00235EAB">
              <w:rPr>
                <w:rFonts w:ascii="Calibri" w:eastAsia="Times New Roman" w:hAnsi="Calibri" w:cs="Times New Roman"/>
                <w:color w:val="000000"/>
                <w:lang w:eastAsia="es-CO"/>
              </w:rPr>
              <w:t>1%</w:t>
            </w:r>
          </w:p>
        </w:tc>
      </w:tr>
      <w:tr w:rsidR="008A65C7" w:rsidRPr="00235EAB" w:rsidTr="0086427F">
        <w:trPr>
          <w:trHeight w:val="300"/>
        </w:trPr>
        <w:tc>
          <w:tcPr>
            <w:tcW w:w="6904" w:type="dxa"/>
            <w:tcBorders>
              <w:top w:val="nil"/>
              <w:left w:val="single" w:sz="4" w:space="0" w:color="auto"/>
              <w:bottom w:val="single" w:sz="4" w:space="0" w:color="auto"/>
              <w:right w:val="single" w:sz="4" w:space="0" w:color="auto"/>
            </w:tcBorders>
            <w:shd w:val="clear" w:color="auto" w:fill="auto"/>
            <w:noWrap/>
            <w:vAlign w:val="bottom"/>
            <w:hideMark/>
          </w:tcPr>
          <w:p w:rsidR="008A65C7" w:rsidRPr="00235EAB" w:rsidRDefault="008A65C7" w:rsidP="0086427F">
            <w:pPr>
              <w:spacing w:after="0" w:line="240" w:lineRule="auto"/>
              <w:rPr>
                <w:rFonts w:ascii="Calibri" w:eastAsia="Times New Roman" w:hAnsi="Calibri" w:cs="Times New Roman"/>
                <w:color w:val="000000"/>
                <w:lang w:eastAsia="es-CO"/>
              </w:rPr>
            </w:pPr>
            <w:r w:rsidRPr="00235EAB">
              <w:rPr>
                <w:rFonts w:ascii="Calibri" w:eastAsia="Times New Roman" w:hAnsi="Calibri" w:cs="Times New Roman"/>
                <w:color w:val="000000"/>
                <w:lang w:eastAsia="es-CO"/>
              </w:rPr>
              <w:t>Director/Trabajador de Caja de Compensación Familiar</w:t>
            </w:r>
          </w:p>
        </w:tc>
        <w:tc>
          <w:tcPr>
            <w:tcW w:w="1944" w:type="dxa"/>
            <w:tcBorders>
              <w:top w:val="nil"/>
              <w:left w:val="nil"/>
              <w:bottom w:val="single" w:sz="4" w:space="0" w:color="auto"/>
              <w:right w:val="single" w:sz="4" w:space="0" w:color="auto"/>
            </w:tcBorders>
            <w:shd w:val="clear" w:color="auto" w:fill="auto"/>
            <w:noWrap/>
            <w:vAlign w:val="bottom"/>
            <w:hideMark/>
          </w:tcPr>
          <w:p w:rsidR="008A65C7" w:rsidRPr="00235EAB" w:rsidRDefault="008A65C7" w:rsidP="0086427F">
            <w:pPr>
              <w:spacing w:after="0" w:line="240" w:lineRule="auto"/>
              <w:rPr>
                <w:rFonts w:ascii="Calibri" w:eastAsia="Times New Roman" w:hAnsi="Calibri" w:cs="Times New Roman"/>
                <w:color w:val="000000"/>
                <w:lang w:eastAsia="es-CO"/>
              </w:rPr>
            </w:pPr>
            <w:r w:rsidRPr="00235EAB">
              <w:rPr>
                <w:rFonts w:ascii="Calibri" w:eastAsia="Times New Roman" w:hAnsi="Calibri" w:cs="Times New Roman"/>
                <w:color w:val="000000"/>
                <w:lang w:eastAsia="es-CO"/>
              </w:rPr>
              <w:t>0%</w:t>
            </w:r>
          </w:p>
        </w:tc>
      </w:tr>
      <w:tr w:rsidR="008A65C7" w:rsidRPr="00235EAB" w:rsidTr="0086427F">
        <w:trPr>
          <w:trHeight w:val="300"/>
        </w:trPr>
        <w:tc>
          <w:tcPr>
            <w:tcW w:w="6904" w:type="dxa"/>
            <w:tcBorders>
              <w:top w:val="nil"/>
              <w:left w:val="single" w:sz="4" w:space="0" w:color="auto"/>
              <w:bottom w:val="single" w:sz="4" w:space="0" w:color="auto"/>
              <w:right w:val="single" w:sz="4" w:space="0" w:color="auto"/>
            </w:tcBorders>
            <w:shd w:val="clear" w:color="DBE5F1" w:fill="DBE5F1"/>
            <w:noWrap/>
            <w:vAlign w:val="bottom"/>
            <w:hideMark/>
          </w:tcPr>
          <w:p w:rsidR="008A65C7" w:rsidRPr="00235EAB" w:rsidRDefault="008A65C7" w:rsidP="0086427F">
            <w:pPr>
              <w:spacing w:after="0" w:line="240" w:lineRule="auto"/>
              <w:rPr>
                <w:rFonts w:ascii="Calibri" w:eastAsia="Times New Roman" w:hAnsi="Calibri" w:cs="Times New Roman"/>
                <w:b/>
                <w:bCs/>
                <w:color w:val="000000"/>
                <w:lang w:eastAsia="es-CO"/>
              </w:rPr>
            </w:pPr>
            <w:r w:rsidRPr="00235EAB">
              <w:rPr>
                <w:rFonts w:ascii="Calibri" w:eastAsia="Times New Roman" w:hAnsi="Calibri" w:cs="Times New Roman"/>
                <w:b/>
                <w:bCs/>
                <w:color w:val="000000"/>
                <w:lang w:eastAsia="es-CO"/>
              </w:rPr>
              <w:t xml:space="preserve">Total </w:t>
            </w:r>
          </w:p>
        </w:tc>
        <w:tc>
          <w:tcPr>
            <w:tcW w:w="1944" w:type="dxa"/>
            <w:tcBorders>
              <w:top w:val="nil"/>
              <w:left w:val="nil"/>
              <w:bottom w:val="single" w:sz="4" w:space="0" w:color="auto"/>
              <w:right w:val="single" w:sz="4" w:space="0" w:color="auto"/>
            </w:tcBorders>
            <w:shd w:val="clear" w:color="auto" w:fill="auto"/>
            <w:noWrap/>
            <w:vAlign w:val="bottom"/>
            <w:hideMark/>
          </w:tcPr>
          <w:p w:rsidR="008A65C7" w:rsidRPr="00235EAB" w:rsidRDefault="008A65C7" w:rsidP="0086427F">
            <w:pPr>
              <w:spacing w:after="0" w:line="240" w:lineRule="auto"/>
              <w:rPr>
                <w:rFonts w:ascii="Calibri" w:eastAsia="Times New Roman" w:hAnsi="Calibri" w:cs="Times New Roman"/>
                <w:b/>
                <w:color w:val="000000"/>
                <w:lang w:eastAsia="es-CO"/>
              </w:rPr>
            </w:pPr>
            <w:r w:rsidRPr="00235EAB">
              <w:rPr>
                <w:rFonts w:ascii="Calibri" w:eastAsia="Times New Roman" w:hAnsi="Calibri" w:cs="Times New Roman"/>
                <w:b/>
                <w:color w:val="000000"/>
                <w:lang w:eastAsia="es-CO"/>
              </w:rPr>
              <w:t>100%</w:t>
            </w:r>
          </w:p>
        </w:tc>
      </w:tr>
    </w:tbl>
    <w:p w:rsidR="00FC5B84" w:rsidRPr="00235EAB" w:rsidRDefault="00235EAB" w:rsidP="00235EAB">
      <w:pPr>
        <w:spacing w:line="240" w:lineRule="auto"/>
        <w:jc w:val="center"/>
        <w:rPr>
          <w:sz w:val="20"/>
          <w:szCs w:val="24"/>
        </w:rPr>
      </w:pPr>
      <w:r w:rsidRPr="00666D4D">
        <w:rPr>
          <w:sz w:val="20"/>
          <w:szCs w:val="24"/>
        </w:rPr>
        <w:t xml:space="preserve">Fuente: </w:t>
      </w:r>
      <w:r>
        <w:rPr>
          <w:sz w:val="20"/>
          <w:szCs w:val="24"/>
        </w:rPr>
        <w:t xml:space="preserve">Informe </w:t>
      </w:r>
      <w:r w:rsidRPr="00666D4D">
        <w:rPr>
          <w:sz w:val="20"/>
          <w:szCs w:val="24"/>
        </w:rPr>
        <w:t xml:space="preserve">Monitor Ciudadano </w:t>
      </w:r>
      <w:r>
        <w:rPr>
          <w:sz w:val="20"/>
          <w:szCs w:val="24"/>
        </w:rPr>
        <w:t xml:space="preserve">(2016-2018) </w:t>
      </w:r>
    </w:p>
    <w:p w:rsidR="00AA4334" w:rsidRDefault="0089264B" w:rsidP="00235EAB">
      <w:pPr>
        <w:spacing w:after="0"/>
        <w:jc w:val="both"/>
        <w:rPr>
          <w:sz w:val="24"/>
          <w:szCs w:val="24"/>
        </w:rPr>
      </w:pPr>
      <w:r>
        <w:rPr>
          <w:sz w:val="24"/>
          <w:szCs w:val="24"/>
        </w:rPr>
        <w:t xml:space="preserve">De los </w:t>
      </w:r>
      <w:r w:rsidR="00FC5B84" w:rsidRPr="0066096D">
        <w:rPr>
          <w:sz w:val="24"/>
          <w:szCs w:val="24"/>
        </w:rPr>
        <w:t xml:space="preserve">hechos de corrupción registrados </w:t>
      </w:r>
      <w:r w:rsidR="0066096D">
        <w:rPr>
          <w:sz w:val="24"/>
          <w:szCs w:val="24"/>
        </w:rPr>
        <w:t>entre 2016 y 2018</w:t>
      </w:r>
      <w:r>
        <w:rPr>
          <w:sz w:val="24"/>
          <w:szCs w:val="24"/>
        </w:rPr>
        <w:t xml:space="preserve">, los actores mayormente involucrados fueron </w:t>
      </w:r>
      <w:r w:rsidR="0066096D">
        <w:rPr>
          <w:sz w:val="24"/>
          <w:szCs w:val="24"/>
        </w:rPr>
        <w:t>servidores públicos</w:t>
      </w:r>
      <w:r w:rsidR="00235EAB">
        <w:rPr>
          <w:sz w:val="24"/>
          <w:szCs w:val="24"/>
        </w:rPr>
        <w:t xml:space="preserve"> con un 39</w:t>
      </w:r>
      <w:r w:rsidR="00F45B0B">
        <w:rPr>
          <w:sz w:val="24"/>
          <w:szCs w:val="24"/>
        </w:rPr>
        <w:t>%</w:t>
      </w:r>
      <w:r w:rsidR="00FD39EF">
        <w:rPr>
          <w:sz w:val="24"/>
          <w:szCs w:val="24"/>
        </w:rPr>
        <w:t xml:space="preserve">, de los cuales la </w:t>
      </w:r>
      <w:r w:rsidR="003551DF">
        <w:rPr>
          <w:sz w:val="24"/>
          <w:szCs w:val="24"/>
        </w:rPr>
        <w:t>mitad</w:t>
      </w:r>
      <w:r w:rsidR="00F45B0B" w:rsidRPr="00AB095C">
        <w:rPr>
          <w:b/>
          <w:sz w:val="24"/>
          <w:szCs w:val="24"/>
        </w:rPr>
        <w:t xml:space="preserve"> encontraban adscritos a alcaldías, gobernaciones y secretarías de las respectivas entidades territoriales</w:t>
      </w:r>
      <w:r w:rsidR="00F45B0B">
        <w:rPr>
          <w:sz w:val="24"/>
          <w:szCs w:val="24"/>
        </w:rPr>
        <w:t>. A</w:t>
      </w:r>
      <w:r w:rsidR="0066096D">
        <w:rPr>
          <w:sz w:val="24"/>
          <w:szCs w:val="24"/>
        </w:rPr>
        <w:t xml:space="preserve">parecen en segundo lugar las </w:t>
      </w:r>
      <w:r w:rsidR="00FC5B84" w:rsidRPr="0066096D">
        <w:rPr>
          <w:sz w:val="24"/>
          <w:szCs w:val="24"/>
        </w:rPr>
        <w:t>autoridades electas</w:t>
      </w:r>
      <w:r w:rsidR="0066096D">
        <w:rPr>
          <w:sz w:val="24"/>
          <w:szCs w:val="24"/>
        </w:rPr>
        <w:t xml:space="preserve"> por voto popular</w:t>
      </w:r>
      <w:r w:rsidR="008A65C7">
        <w:rPr>
          <w:sz w:val="24"/>
          <w:szCs w:val="24"/>
        </w:rPr>
        <w:t xml:space="preserve"> con un 30</w:t>
      </w:r>
      <w:r w:rsidR="00E37834">
        <w:rPr>
          <w:sz w:val="24"/>
          <w:szCs w:val="24"/>
        </w:rPr>
        <w:t xml:space="preserve">%. </w:t>
      </w:r>
      <w:r w:rsidR="00FD39EF">
        <w:rPr>
          <w:sz w:val="24"/>
          <w:szCs w:val="24"/>
        </w:rPr>
        <w:t>É</w:t>
      </w:r>
      <w:r w:rsidR="00FC5B84" w:rsidRPr="0066096D">
        <w:rPr>
          <w:sz w:val="24"/>
          <w:szCs w:val="24"/>
        </w:rPr>
        <w:t xml:space="preserve">stas autoridades disponen de responsabilidades en los procesos administrativos y </w:t>
      </w:r>
      <w:r w:rsidR="00FC5B84" w:rsidRPr="0066096D">
        <w:rPr>
          <w:sz w:val="24"/>
          <w:szCs w:val="24"/>
        </w:rPr>
        <w:lastRenderedPageBreak/>
        <w:t xml:space="preserve">contractuales en las diferentes entidades estatales </w:t>
      </w:r>
      <w:r w:rsidR="00FD39EF">
        <w:rPr>
          <w:sz w:val="24"/>
          <w:szCs w:val="24"/>
        </w:rPr>
        <w:t xml:space="preserve">a las que pertenecen, </w:t>
      </w:r>
      <w:r w:rsidR="00FC5B84" w:rsidRPr="0066096D">
        <w:rPr>
          <w:sz w:val="24"/>
          <w:szCs w:val="24"/>
        </w:rPr>
        <w:t xml:space="preserve">ya sean </w:t>
      </w:r>
      <w:r w:rsidR="0066096D">
        <w:rPr>
          <w:sz w:val="24"/>
          <w:szCs w:val="24"/>
        </w:rPr>
        <w:t xml:space="preserve">del nivel departamental </w:t>
      </w:r>
      <w:r w:rsidR="00FC5B84" w:rsidRPr="0066096D">
        <w:rPr>
          <w:sz w:val="24"/>
          <w:szCs w:val="24"/>
        </w:rPr>
        <w:t>o local</w:t>
      </w:r>
      <w:r w:rsidR="00FD39EF">
        <w:rPr>
          <w:sz w:val="24"/>
          <w:szCs w:val="24"/>
        </w:rPr>
        <w:t xml:space="preserve">, y que cuya institucionalidad aun está afectada por riesgos de corrupción relacionados con </w:t>
      </w:r>
      <w:r w:rsidR="00AA4334">
        <w:rPr>
          <w:sz w:val="24"/>
          <w:szCs w:val="24"/>
        </w:rPr>
        <w:t xml:space="preserve">debilidades y omisión de funciones en los procesos de contratación, manejo del talento humano y comportamiento ético de los funcionarios. </w:t>
      </w:r>
      <w:bookmarkStart w:id="26" w:name="_Toc519496655"/>
    </w:p>
    <w:p w:rsidR="00235EAB" w:rsidRDefault="00235EAB" w:rsidP="00235EAB">
      <w:pPr>
        <w:spacing w:after="0"/>
        <w:jc w:val="both"/>
        <w:rPr>
          <w:sz w:val="24"/>
          <w:szCs w:val="24"/>
        </w:rPr>
      </w:pPr>
    </w:p>
    <w:p w:rsidR="00F1521D" w:rsidRDefault="004E5207" w:rsidP="00F1521D">
      <w:pPr>
        <w:spacing w:after="0"/>
        <w:jc w:val="both"/>
        <w:rPr>
          <w:sz w:val="24"/>
          <w:szCs w:val="24"/>
        </w:rPr>
      </w:pPr>
      <w:r>
        <w:rPr>
          <w:sz w:val="24"/>
          <w:szCs w:val="24"/>
        </w:rPr>
        <w:t xml:space="preserve">Con base al balance de 15 años de aplicación del Índice de Transparencia de las Entidades Públicas-ITEP de Transparencia por Colombia, se evidencia que aún existe una institucionalidad territorial deficiente al momento de blindar ciertos procesos de riesgos de </w:t>
      </w:r>
      <w:r w:rsidR="00F1521D">
        <w:rPr>
          <w:sz w:val="24"/>
          <w:szCs w:val="24"/>
        </w:rPr>
        <w:t>corrupción,</w:t>
      </w:r>
      <w:r>
        <w:rPr>
          <w:sz w:val="24"/>
          <w:szCs w:val="24"/>
        </w:rPr>
        <w:t xml:space="preserve"> como es por ejemplo la gestión contractual.</w:t>
      </w:r>
      <w:r w:rsidRPr="004E5207">
        <w:rPr>
          <w:sz w:val="24"/>
          <w:szCs w:val="24"/>
        </w:rPr>
        <w:t xml:space="preserve"> Entre la primera y última evaluación del nivel nacional </w:t>
      </w:r>
      <w:r w:rsidR="00F1521D">
        <w:rPr>
          <w:sz w:val="24"/>
          <w:szCs w:val="24"/>
        </w:rPr>
        <w:t xml:space="preserve">el </w:t>
      </w:r>
      <w:r w:rsidRPr="004E5207">
        <w:rPr>
          <w:sz w:val="24"/>
          <w:szCs w:val="24"/>
        </w:rPr>
        <w:t xml:space="preserve">nivel de riesgo </w:t>
      </w:r>
      <w:r w:rsidR="00F1521D">
        <w:rPr>
          <w:sz w:val="24"/>
          <w:szCs w:val="24"/>
        </w:rPr>
        <w:t xml:space="preserve">se ubicó en </w:t>
      </w:r>
      <w:r w:rsidRPr="004E5207">
        <w:rPr>
          <w:sz w:val="24"/>
          <w:szCs w:val="24"/>
        </w:rPr>
        <w:t xml:space="preserve">moderado, lo que indica que las entidades están cumpliendo con solo algunos de los mínimos evaluados. En el nivel departamental, </w:t>
      </w:r>
      <w:r>
        <w:rPr>
          <w:sz w:val="24"/>
          <w:szCs w:val="24"/>
        </w:rPr>
        <w:t xml:space="preserve">para </w:t>
      </w:r>
      <w:r w:rsidRPr="004E5207">
        <w:rPr>
          <w:sz w:val="24"/>
          <w:szCs w:val="24"/>
        </w:rPr>
        <w:t>gobernaciones y contralorías, aunque iniciaron con unas ca</w:t>
      </w:r>
      <w:r>
        <w:rPr>
          <w:sz w:val="24"/>
          <w:szCs w:val="24"/>
        </w:rPr>
        <w:t xml:space="preserve">lificaciones deficientes, en la </w:t>
      </w:r>
      <w:r w:rsidRPr="004E5207">
        <w:rPr>
          <w:sz w:val="24"/>
          <w:szCs w:val="24"/>
        </w:rPr>
        <w:t xml:space="preserve">última medición lograron ubicarse en un nivel de </w:t>
      </w:r>
      <w:r>
        <w:rPr>
          <w:sz w:val="24"/>
          <w:szCs w:val="24"/>
        </w:rPr>
        <w:t>riesgo medio</w:t>
      </w:r>
      <w:r w:rsidR="00F1521D">
        <w:rPr>
          <w:sz w:val="24"/>
          <w:szCs w:val="24"/>
        </w:rPr>
        <w:t xml:space="preserve"> de corrupción. Preocupan </w:t>
      </w:r>
      <w:r w:rsidRPr="004E5207">
        <w:rPr>
          <w:sz w:val="24"/>
          <w:szCs w:val="24"/>
        </w:rPr>
        <w:t>los municipios cuyas calificaciones no lograron salir del nivel de riesgo alto</w:t>
      </w:r>
      <w:r w:rsidR="00F1521D">
        <w:rPr>
          <w:sz w:val="24"/>
          <w:szCs w:val="24"/>
        </w:rPr>
        <w:t xml:space="preserve">. </w:t>
      </w:r>
      <w:bookmarkStart w:id="27" w:name="_Toc4077121"/>
      <w:bookmarkStart w:id="28" w:name="_Toc4077244"/>
      <w:r w:rsidR="00F1521D">
        <w:rPr>
          <w:sz w:val="24"/>
          <w:szCs w:val="24"/>
        </w:rPr>
        <w:t xml:space="preserve">Adicionalmente, </w:t>
      </w:r>
      <w:r w:rsidR="00F1521D" w:rsidRPr="00F1521D">
        <w:rPr>
          <w:sz w:val="24"/>
          <w:szCs w:val="24"/>
        </w:rPr>
        <w:t xml:space="preserve">en los 15 años que lleva </w:t>
      </w:r>
      <w:r w:rsidR="00F1521D">
        <w:rPr>
          <w:sz w:val="24"/>
          <w:szCs w:val="24"/>
        </w:rPr>
        <w:t>la medición</w:t>
      </w:r>
      <w:r w:rsidR="00F1521D" w:rsidRPr="00F1521D">
        <w:rPr>
          <w:sz w:val="24"/>
          <w:szCs w:val="24"/>
        </w:rPr>
        <w:t xml:space="preserve">, el indicador </w:t>
      </w:r>
      <w:r w:rsidR="00F1521D">
        <w:rPr>
          <w:sz w:val="24"/>
          <w:szCs w:val="24"/>
        </w:rPr>
        <w:t xml:space="preserve">de </w:t>
      </w:r>
      <w:r w:rsidR="00F1521D" w:rsidRPr="00F1521D">
        <w:rPr>
          <w:sz w:val="24"/>
          <w:szCs w:val="24"/>
        </w:rPr>
        <w:t>Talento Humano es el que menos avances evidencia</w:t>
      </w:r>
      <w:r w:rsidR="00F1521D">
        <w:rPr>
          <w:sz w:val="24"/>
          <w:szCs w:val="24"/>
        </w:rPr>
        <w:t>. La meritocracia se pasea poco por las entidades y los procesos de vinculación discresionales incrementan los riesgos de corrupción.</w:t>
      </w:r>
      <w:r w:rsidR="00F1521D">
        <w:rPr>
          <w:rStyle w:val="Refdenotaalpie"/>
          <w:sz w:val="24"/>
          <w:szCs w:val="24"/>
        </w:rPr>
        <w:footnoteReference w:id="26"/>
      </w:r>
      <w:r w:rsidR="00F1521D">
        <w:rPr>
          <w:sz w:val="24"/>
          <w:szCs w:val="24"/>
        </w:rPr>
        <w:t xml:space="preserve"> </w:t>
      </w:r>
    </w:p>
    <w:p w:rsidR="00F1521D" w:rsidRPr="00F1521D" w:rsidRDefault="00F1521D" w:rsidP="00F1521D">
      <w:pPr>
        <w:spacing w:after="0"/>
        <w:jc w:val="both"/>
        <w:rPr>
          <w:sz w:val="24"/>
          <w:szCs w:val="24"/>
        </w:rPr>
      </w:pPr>
    </w:p>
    <w:p w:rsidR="00B9185D" w:rsidRDefault="004158E6" w:rsidP="00B9185D">
      <w:pPr>
        <w:pStyle w:val="Ttulo3"/>
        <w:rPr>
          <w:rFonts w:asciiTheme="minorHAnsi" w:eastAsiaTheme="minorEastAsia" w:hAnsiTheme="minorHAnsi" w:cstheme="minorBidi"/>
          <w:b/>
          <w:color w:val="auto"/>
          <w:sz w:val="24"/>
          <w:szCs w:val="24"/>
        </w:rPr>
      </w:pPr>
      <w:r>
        <w:rPr>
          <w:rFonts w:asciiTheme="minorHAnsi" w:eastAsiaTheme="minorEastAsia" w:hAnsiTheme="minorHAnsi" w:cstheme="minorBidi"/>
          <w:b/>
          <w:color w:val="auto"/>
          <w:sz w:val="24"/>
          <w:szCs w:val="24"/>
        </w:rPr>
        <w:t>Gráfica # 8</w:t>
      </w:r>
      <w:r w:rsidR="00B9185D">
        <w:rPr>
          <w:rFonts w:asciiTheme="minorHAnsi" w:eastAsiaTheme="minorEastAsia" w:hAnsiTheme="minorHAnsi" w:cstheme="minorBidi"/>
          <w:b/>
          <w:color w:val="auto"/>
          <w:sz w:val="24"/>
          <w:szCs w:val="24"/>
        </w:rPr>
        <w:t xml:space="preserve">: Porcentaje de </w:t>
      </w:r>
      <w:r w:rsidR="00FC5B84" w:rsidRPr="003E55C8">
        <w:rPr>
          <w:rFonts w:asciiTheme="minorHAnsi" w:eastAsiaTheme="minorEastAsia" w:hAnsiTheme="minorHAnsi" w:cstheme="minorBidi"/>
          <w:b/>
          <w:color w:val="auto"/>
          <w:sz w:val="24"/>
          <w:szCs w:val="24"/>
        </w:rPr>
        <w:t>autoridades electas involucradas en hechos de corrupción</w:t>
      </w:r>
      <w:bookmarkEnd w:id="26"/>
      <w:r w:rsidR="00235EAB">
        <w:rPr>
          <w:rFonts w:asciiTheme="minorHAnsi" w:eastAsiaTheme="minorEastAsia" w:hAnsiTheme="minorHAnsi" w:cstheme="minorBidi"/>
          <w:b/>
          <w:color w:val="auto"/>
          <w:sz w:val="24"/>
          <w:szCs w:val="24"/>
        </w:rPr>
        <w:t xml:space="preserve"> reportados por la prensa entre 2016 y 2018</w:t>
      </w:r>
      <w:bookmarkEnd w:id="27"/>
      <w:bookmarkEnd w:id="28"/>
      <w:r w:rsidR="00235EAB">
        <w:rPr>
          <w:rFonts w:asciiTheme="minorHAnsi" w:eastAsiaTheme="minorEastAsia" w:hAnsiTheme="minorHAnsi" w:cstheme="minorBidi"/>
          <w:b/>
          <w:color w:val="auto"/>
          <w:sz w:val="24"/>
          <w:szCs w:val="24"/>
        </w:rPr>
        <w:t xml:space="preserve"> </w:t>
      </w:r>
    </w:p>
    <w:p w:rsidR="00653132" w:rsidRPr="00653132" w:rsidRDefault="00653132" w:rsidP="00653132"/>
    <w:p w:rsidR="00FC5B84" w:rsidRPr="00345BF0" w:rsidRDefault="00B9185D" w:rsidP="003C223A">
      <w:pPr>
        <w:spacing w:after="0"/>
        <w:rPr>
          <w:rFonts w:asciiTheme="majorHAnsi" w:eastAsia="Times New Roman" w:hAnsiTheme="majorHAnsi"/>
          <w:color w:val="000000"/>
          <w:sz w:val="24"/>
          <w:szCs w:val="24"/>
        </w:rPr>
      </w:pPr>
      <w:r>
        <w:rPr>
          <w:noProof/>
          <w:lang w:eastAsia="es-CO"/>
        </w:rPr>
        <w:drawing>
          <wp:inline distT="0" distB="0" distL="0" distR="0">
            <wp:extent cx="5972175" cy="2457450"/>
            <wp:effectExtent l="19050" t="0" r="952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A26A0" w:rsidRPr="00235EAB" w:rsidRDefault="00235EAB" w:rsidP="00235EAB">
      <w:pPr>
        <w:spacing w:line="240" w:lineRule="auto"/>
        <w:jc w:val="center"/>
        <w:rPr>
          <w:sz w:val="20"/>
          <w:szCs w:val="24"/>
        </w:rPr>
      </w:pPr>
      <w:r w:rsidRPr="00666D4D">
        <w:rPr>
          <w:sz w:val="20"/>
          <w:szCs w:val="24"/>
        </w:rPr>
        <w:t xml:space="preserve">Fuente: </w:t>
      </w:r>
      <w:r>
        <w:rPr>
          <w:sz w:val="20"/>
          <w:szCs w:val="24"/>
        </w:rPr>
        <w:t xml:space="preserve">Informe </w:t>
      </w:r>
      <w:r w:rsidRPr="00666D4D">
        <w:rPr>
          <w:sz w:val="20"/>
          <w:szCs w:val="24"/>
        </w:rPr>
        <w:t xml:space="preserve">Monitor Ciudadano </w:t>
      </w:r>
      <w:r>
        <w:rPr>
          <w:sz w:val="20"/>
          <w:szCs w:val="24"/>
        </w:rPr>
        <w:t xml:space="preserve">(2016-2018) </w:t>
      </w:r>
    </w:p>
    <w:p w:rsidR="00CF4EF3" w:rsidRDefault="008A65C7" w:rsidP="00CF4EF3">
      <w:pPr>
        <w:spacing w:after="0"/>
        <w:jc w:val="both"/>
        <w:rPr>
          <w:sz w:val="24"/>
          <w:szCs w:val="24"/>
        </w:rPr>
      </w:pPr>
      <w:r>
        <w:rPr>
          <w:sz w:val="24"/>
          <w:szCs w:val="24"/>
        </w:rPr>
        <w:lastRenderedPageBreak/>
        <w:t xml:space="preserve">Tomando en cuenta las </w:t>
      </w:r>
      <w:r w:rsidR="00AA4334">
        <w:rPr>
          <w:sz w:val="24"/>
          <w:szCs w:val="24"/>
        </w:rPr>
        <w:t>autoridades electas por voto popular</w:t>
      </w:r>
      <w:r w:rsidR="00CF4EF3">
        <w:rPr>
          <w:sz w:val="24"/>
          <w:szCs w:val="24"/>
        </w:rPr>
        <w:t>,</w:t>
      </w:r>
      <w:r w:rsidR="00653132" w:rsidRPr="00737A85">
        <w:rPr>
          <w:sz w:val="24"/>
          <w:szCs w:val="24"/>
        </w:rPr>
        <w:t xml:space="preserve"> se observó un mayor número de </w:t>
      </w:r>
      <w:r w:rsidR="00653132">
        <w:rPr>
          <w:b/>
          <w:sz w:val="24"/>
          <w:szCs w:val="24"/>
        </w:rPr>
        <w:t>alcaldes (40</w:t>
      </w:r>
      <w:r w:rsidR="00653132" w:rsidRPr="00737A85">
        <w:rPr>
          <w:b/>
          <w:sz w:val="24"/>
          <w:szCs w:val="24"/>
        </w:rPr>
        <w:t>%)</w:t>
      </w:r>
      <w:r w:rsidR="00653132" w:rsidRPr="00737A85">
        <w:rPr>
          <w:sz w:val="24"/>
          <w:szCs w:val="24"/>
        </w:rPr>
        <w:t xml:space="preserve"> y de </w:t>
      </w:r>
      <w:r w:rsidR="00653132">
        <w:rPr>
          <w:b/>
          <w:sz w:val="24"/>
          <w:szCs w:val="24"/>
        </w:rPr>
        <w:t>c</w:t>
      </w:r>
      <w:r w:rsidR="00480F9B">
        <w:rPr>
          <w:b/>
          <w:sz w:val="24"/>
          <w:szCs w:val="24"/>
        </w:rPr>
        <w:t>oncejales (40</w:t>
      </w:r>
      <w:r w:rsidR="00653132" w:rsidRPr="00737A85">
        <w:rPr>
          <w:b/>
          <w:sz w:val="24"/>
          <w:szCs w:val="24"/>
        </w:rPr>
        <w:t>%)</w:t>
      </w:r>
      <w:r w:rsidR="00653132" w:rsidRPr="00737A85">
        <w:rPr>
          <w:sz w:val="24"/>
          <w:szCs w:val="24"/>
        </w:rPr>
        <w:t xml:space="preserve"> involucrados en hechos</w:t>
      </w:r>
      <w:r>
        <w:rPr>
          <w:sz w:val="24"/>
          <w:szCs w:val="24"/>
        </w:rPr>
        <w:t xml:space="preserve"> de corrupción</w:t>
      </w:r>
      <w:r w:rsidR="00653132" w:rsidRPr="00737A85">
        <w:rPr>
          <w:sz w:val="24"/>
          <w:szCs w:val="24"/>
        </w:rPr>
        <w:t xml:space="preserve">. Le siguen </w:t>
      </w:r>
      <w:r w:rsidR="00653132">
        <w:rPr>
          <w:b/>
          <w:sz w:val="24"/>
          <w:szCs w:val="24"/>
        </w:rPr>
        <w:t>g</w:t>
      </w:r>
      <w:r w:rsidR="00480F9B">
        <w:rPr>
          <w:b/>
          <w:sz w:val="24"/>
          <w:szCs w:val="24"/>
        </w:rPr>
        <w:t>obernadores (10</w:t>
      </w:r>
      <w:r w:rsidR="00653132" w:rsidRPr="00737A85">
        <w:rPr>
          <w:b/>
          <w:sz w:val="24"/>
          <w:szCs w:val="24"/>
        </w:rPr>
        <w:t>%)</w:t>
      </w:r>
      <w:r>
        <w:rPr>
          <w:sz w:val="24"/>
          <w:szCs w:val="24"/>
        </w:rPr>
        <w:t xml:space="preserve">, </w:t>
      </w:r>
      <w:r w:rsidRPr="00737A85">
        <w:rPr>
          <w:sz w:val="24"/>
          <w:szCs w:val="24"/>
        </w:rPr>
        <w:t>diputados</w:t>
      </w:r>
      <w:r>
        <w:rPr>
          <w:b/>
          <w:sz w:val="24"/>
          <w:szCs w:val="24"/>
        </w:rPr>
        <w:t xml:space="preserve"> (8</w:t>
      </w:r>
      <w:r w:rsidR="00653132" w:rsidRPr="00737A85">
        <w:rPr>
          <w:b/>
          <w:sz w:val="24"/>
          <w:szCs w:val="24"/>
        </w:rPr>
        <w:t>%) y senadores (3%)</w:t>
      </w:r>
      <w:r w:rsidR="00CF4EF3">
        <w:rPr>
          <w:b/>
          <w:sz w:val="24"/>
          <w:szCs w:val="24"/>
        </w:rPr>
        <w:t xml:space="preserve">. </w:t>
      </w:r>
    </w:p>
    <w:p w:rsidR="00235EAB" w:rsidRDefault="00235EAB" w:rsidP="00FC5B84">
      <w:pPr>
        <w:spacing w:after="0"/>
        <w:jc w:val="both"/>
      </w:pPr>
    </w:p>
    <w:p w:rsidR="003C223A" w:rsidRDefault="00653132" w:rsidP="00FC5B84">
      <w:pPr>
        <w:spacing w:after="0"/>
        <w:jc w:val="both"/>
        <w:rPr>
          <w:sz w:val="24"/>
          <w:szCs w:val="24"/>
        </w:rPr>
      </w:pPr>
      <w:r w:rsidRPr="00653132">
        <w:rPr>
          <w:sz w:val="24"/>
          <w:szCs w:val="24"/>
        </w:rPr>
        <w:t xml:space="preserve">Los departamentos en </w:t>
      </w:r>
      <w:r>
        <w:rPr>
          <w:sz w:val="24"/>
          <w:szCs w:val="24"/>
        </w:rPr>
        <w:t xml:space="preserve">donde se vieron </w:t>
      </w:r>
      <w:r w:rsidR="00235EAB">
        <w:rPr>
          <w:sz w:val="24"/>
          <w:szCs w:val="24"/>
        </w:rPr>
        <w:t>involucradas</w:t>
      </w:r>
      <w:r>
        <w:rPr>
          <w:sz w:val="24"/>
          <w:szCs w:val="24"/>
        </w:rPr>
        <w:t xml:space="preserve"> mayor número de </w:t>
      </w:r>
      <w:r w:rsidR="00235EAB">
        <w:rPr>
          <w:sz w:val="24"/>
          <w:szCs w:val="24"/>
        </w:rPr>
        <w:t xml:space="preserve">autoridades electas </w:t>
      </w:r>
      <w:r>
        <w:rPr>
          <w:sz w:val="24"/>
          <w:szCs w:val="24"/>
        </w:rPr>
        <w:t xml:space="preserve">fueron </w:t>
      </w:r>
      <w:r w:rsidR="00235EAB">
        <w:rPr>
          <w:sz w:val="24"/>
          <w:szCs w:val="24"/>
        </w:rPr>
        <w:t>Santander (22%), Quindío (95%), Tolima (9%), Córdoba (7%) y Atlántico (6%). En cuanto a los partidos políticos a los cuales pertenecían las autoridades electas involucradas en hechos de corrupción,</w:t>
      </w:r>
      <w:r w:rsidR="001E510D">
        <w:rPr>
          <w:sz w:val="24"/>
          <w:szCs w:val="24"/>
        </w:rPr>
        <w:t xml:space="preserve"> el 60% pertenecían a cuatro partidos: </w:t>
      </w:r>
      <w:r w:rsidR="00235EAB">
        <w:rPr>
          <w:sz w:val="24"/>
          <w:szCs w:val="24"/>
        </w:rPr>
        <w:t>Partido Liberal (19%), Partido Conservador (14%), Partido de la U (14%) y Partido Cambio Radical (13%)</w:t>
      </w:r>
      <w:r w:rsidR="001E510D">
        <w:rPr>
          <w:sz w:val="24"/>
          <w:szCs w:val="24"/>
        </w:rPr>
        <w:t xml:space="preserve">. </w:t>
      </w:r>
      <w:r w:rsidR="00235EAB">
        <w:rPr>
          <w:sz w:val="24"/>
          <w:szCs w:val="24"/>
        </w:rPr>
        <w:t xml:space="preserve"> </w:t>
      </w:r>
    </w:p>
    <w:p w:rsidR="008C5BBB" w:rsidRDefault="008C5BBB" w:rsidP="00FC5B84">
      <w:pPr>
        <w:spacing w:after="0"/>
        <w:jc w:val="both"/>
        <w:rPr>
          <w:sz w:val="24"/>
          <w:szCs w:val="24"/>
        </w:rPr>
      </w:pPr>
    </w:p>
    <w:p w:rsidR="00496CBC" w:rsidRPr="00795D07" w:rsidRDefault="00496CBC" w:rsidP="00795D07">
      <w:pPr>
        <w:spacing w:after="200" w:line="276" w:lineRule="auto"/>
        <w:jc w:val="both"/>
        <w:rPr>
          <w:sz w:val="24"/>
          <w:szCs w:val="24"/>
        </w:rPr>
      </w:pPr>
      <w:r w:rsidRPr="00496CBC">
        <w:rPr>
          <w:sz w:val="24"/>
          <w:szCs w:val="24"/>
        </w:rPr>
        <w:t>Algunos casos a destacar</w:t>
      </w:r>
      <w:r>
        <w:rPr>
          <w:sz w:val="24"/>
          <w:szCs w:val="24"/>
        </w:rPr>
        <w:t xml:space="preserve"> en ciudades capitales asociado</w:t>
      </w:r>
      <w:r w:rsidR="00FD39EF">
        <w:rPr>
          <w:sz w:val="24"/>
          <w:szCs w:val="24"/>
        </w:rPr>
        <w:t>s</w:t>
      </w:r>
      <w:r>
        <w:rPr>
          <w:sz w:val="24"/>
          <w:szCs w:val="24"/>
        </w:rPr>
        <w:t xml:space="preserve"> a hechos que i</w:t>
      </w:r>
      <w:r w:rsidR="00F73DA8">
        <w:rPr>
          <w:sz w:val="24"/>
          <w:szCs w:val="24"/>
        </w:rPr>
        <w:t>nv</w:t>
      </w:r>
      <w:r w:rsidR="001E510D">
        <w:rPr>
          <w:sz w:val="24"/>
          <w:szCs w:val="24"/>
        </w:rPr>
        <w:t>olucran autoridades electas fueron por ejemplo</w:t>
      </w:r>
      <w:r w:rsidRPr="00496CBC">
        <w:rPr>
          <w:sz w:val="24"/>
          <w:szCs w:val="24"/>
        </w:rPr>
        <w:t xml:space="preserve"> la crisis </w:t>
      </w:r>
      <w:r w:rsidR="001E510D">
        <w:rPr>
          <w:sz w:val="24"/>
          <w:szCs w:val="24"/>
        </w:rPr>
        <w:t xml:space="preserve">de </w:t>
      </w:r>
      <w:r w:rsidRPr="00496CBC">
        <w:rPr>
          <w:sz w:val="24"/>
          <w:szCs w:val="24"/>
        </w:rPr>
        <w:t>institucionalidad pública que atravesó Cartagena desde 2016 con casos de corrupció</w:t>
      </w:r>
      <w:r>
        <w:rPr>
          <w:sz w:val="24"/>
          <w:szCs w:val="24"/>
        </w:rPr>
        <w:t>n que tienen al exalcalde Manuel Vicente</w:t>
      </w:r>
      <w:r w:rsidRPr="00496CBC">
        <w:rPr>
          <w:sz w:val="24"/>
          <w:szCs w:val="24"/>
        </w:rPr>
        <w:t xml:space="preserve"> Duque</w:t>
      </w:r>
      <w:r>
        <w:rPr>
          <w:sz w:val="24"/>
          <w:szCs w:val="24"/>
        </w:rPr>
        <w:t xml:space="preserve"> (2016-2017)</w:t>
      </w:r>
      <w:r w:rsidRPr="00496CBC">
        <w:rPr>
          <w:sz w:val="24"/>
          <w:szCs w:val="24"/>
        </w:rPr>
        <w:t xml:space="preserve">, a la excontralora distrital Nubia Fontalvo y a varios concejales de la ciudad </w:t>
      </w:r>
      <w:r>
        <w:rPr>
          <w:sz w:val="24"/>
          <w:szCs w:val="24"/>
        </w:rPr>
        <w:t xml:space="preserve">del periodo (2016-2019) </w:t>
      </w:r>
      <w:r w:rsidRPr="00496CBC">
        <w:rPr>
          <w:sz w:val="24"/>
          <w:szCs w:val="24"/>
        </w:rPr>
        <w:t>en la cárcel o investigados.</w:t>
      </w:r>
    </w:p>
    <w:p w:rsidR="00496CBC" w:rsidRDefault="00496CBC" w:rsidP="00795D07">
      <w:pPr>
        <w:spacing w:line="276" w:lineRule="auto"/>
        <w:jc w:val="both"/>
        <w:rPr>
          <w:sz w:val="24"/>
          <w:szCs w:val="24"/>
        </w:rPr>
      </w:pPr>
      <w:r w:rsidRPr="00496CBC">
        <w:rPr>
          <w:sz w:val="24"/>
          <w:szCs w:val="24"/>
        </w:rPr>
        <w:t xml:space="preserve">Para el caso de </w:t>
      </w:r>
      <w:r>
        <w:rPr>
          <w:sz w:val="24"/>
          <w:szCs w:val="24"/>
        </w:rPr>
        <w:t>otra ciudad capital</w:t>
      </w:r>
      <w:r w:rsidR="001E510D">
        <w:rPr>
          <w:sz w:val="24"/>
          <w:szCs w:val="24"/>
        </w:rPr>
        <w:t xml:space="preserve"> como Bucaramanga, se destacan </w:t>
      </w:r>
      <w:r w:rsidRPr="00496CBC">
        <w:rPr>
          <w:sz w:val="24"/>
          <w:szCs w:val="24"/>
        </w:rPr>
        <w:t xml:space="preserve">casos de corrupción e investigaciones que involucran a todos los alcaldes desde 2008 hasta 2018. El alcalde Fernando Vargas Mendoza (2008-2011) fue inhabilitado por 11 años en 2017 por la alteración de un contrato de construcción de un parque extremo en la ciudad. El alcalde Luis Francisco Bohórquez (2012-2015) fue enviado a la cárcel en 2017 por vínculos de la contratación de la alcaldía con empresas creadas por familiares suyos </w:t>
      </w:r>
      <w:r w:rsidR="004D3624">
        <w:rPr>
          <w:sz w:val="24"/>
          <w:szCs w:val="24"/>
        </w:rPr>
        <w:t xml:space="preserve">que pertenecían </w:t>
      </w:r>
      <w:r w:rsidR="004D3624" w:rsidRPr="00496CBC">
        <w:rPr>
          <w:sz w:val="24"/>
          <w:szCs w:val="24"/>
        </w:rPr>
        <w:t>a</w:t>
      </w:r>
      <w:r w:rsidRPr="00496CBC">
        <w:rPr>
          <w:sz w:val="24"/>
          <w:szCs w:val="24"/>
        </w:rPr>
        <w:t xml:space="preserve"> una iglesia cristiana conocida como “Manantial de amor”. Por último, el alcalde Rodolfo Hernández Suárez (2016-2109) enfrenta investigaciones disciplinarias al revelarse acuerdos en donde su hijo </w:t>
      </w:r>
      <w:r w:rsidR="003551DF" w:rsidRPr="00496CBC">
        <w:rPr>
          <w:sz w:val="24"/>
          <w:szCs w:val="24"/>
        </w:rPr>
        <w:t>recibía</w:t>
      </w:r>
      <w:r w:rsidRPr="00496CBC">
        <w:rPr>
          <w:sz w:val="24"/>
          <w:szCs w:val="24"/>
        </w:rPr>
        <w:t xml:space="preserve"> comisiones por lograr la adjudicación de un contrato de tecnificación de basuras en la ciudad.</w:t>
      </w:r>
    </w:p>
    <w:p w:rsidR="00AF311E" w:rsidRDefault="00F73DA8" w:rsidP="00E24789">
      <w:pPr>
        <w:spacing w:line="276" w:lineRule="auto"/>
        <w:jc w:val="both"/>
        <w:rPr>
          <w:sz w:val="24"/>
          <w:szCs w:val="24"/>
        </w:rPr>
      </w:pPr>
      <w:r>
        <w:rPr>
          <w:sz w:val="24"/>
          <w:szCs w:val="24"/>
        </w:rPr>
        <w:t xml:space="preserve">Por último, </w:t>
      </w:r>
      <w:r w:rsidR="00F45B0B">
        <w:rPr>
          <w:sz w:val="24"/>
          <w:szCs w:val="24"/>
        </w:rPr>
        <w:t xml:space="preserve">un caso que puede catalogarse </w:t>
      </w:r>
      <w:r>
        <w:rPr>
          <w:sz w:val="24"/>
          <w:szCs w:val="24"/>
        </w:rPr>
        <w:t xml:space="preserve">crítico </w:t>
      </w:r>
      <w:r w:rsidR="00F45B0B">
        <w:rPr>
          <w:sz w:val="24"/>
          <w:szCs w:val="24"/>
        </w:rPr>
        <w:t>se da en el Eje Cafetero</w:t>
      </w:r>
      <w:r w:rsidR="001E510D">
        <w:rPr>
          <w:sz w:val="24"/>
          <w:szCs w:val="24"/>
        </w:rPr>
        <w:t xml:space="preserve">. En la </w:t>
      </w:r>
      <w:r>
        <w:rPr>
          <w:sz w:val="24"/>
          <w:szCs w:val="24"/>
        </w:rPr>
        <w:t xml:space="preserve">ciudad de Armenia los alcaldes del periodo (2012-2015) Luz Piedad </w:t>
      </w:r>
      <w:r w:rsidR="001E510D">
        <w:rPr>
          <w:sz w:val="24"/>
          <w:szCs w:val="24"/>
        </w:rPr>
        <w:t>Valencia y</w:t>
      </w:r>
      <w:r>
        <w:rPr>
          <w:sz w:val="24"/>
          <w:szCs w:val="24"/>
        </w:rPr>
        <w:t xml:space="preserve"> (2016-2019) Carlos Mario Álvarez Morales así como la gobernadora del Quindío (2012-2015) Sandra Paola Hurtado se vieron involucrados en hechos de corrupción y </w:t>
      </w:r>
      <w:r w:rsidR="00F45B0B">
        <w:rPr>
          <w:sz w:val="24"/>
          <w:szCs w:val="24"/>
        </w:rPr>
        <w:t xml:space="preserve">fueron </w:t>
      </w:r>
      <w:r>
        <w:rPr>
          <w:sz w:val="24"/>
          <w:szCs w:val="24"/>
        </w:rPr>
        <w:t xml:space="preserve">destituidos de sus cargos. Adicionalmente, doce concejales de la ciudad del periodo (2016-2019) se vieron involucrados en irregularidades disciplinarias por el proceso de elección del personero municipal de la ciudad. </w:t>
      </w:r>
    </w:p>
    <w:p w:rsidR="00F1521D" w:rsidRDefault="00F1521D" w:rsidP="00E24789">
      <w:pPr>
        <w:spacing w:line="276" w:lineRule="auto"/>
        <w:jc w:val="both"/>
        <w:rPr>
          <w:sz w:val="24"/>
          <w:szCs w:val="24"/>
        </w:rPr>
      </w:pPr>
    </w:p>
    <w:p w:rsidR="00F1521D" w:rsidRDefault="00F1521D" w:rsidP="00E24789">
      <w:pPr>
        <w:spacing w:line="276" w:lineRule="auto"/>
        <w:jc w:val="both"/>
        <w:rPr>
          <w:sz w:val="24"/>
          <w:szCs w:val="24"/>
        </w:rPr>
      </w:pPr>
    </w:p>
    <w:p w:rsidR="00687649" w:rsidRPr="00C304B6" w:rsidRDefault="003C2F62" w:rsidP="00687649">
      <w:pPr>
        <w:pStyle w:val="Prrafodelista"/>
        <w:numPr>
          <w:ilvl w:val="0"/>
          <w:numId w:val="10"/>
        </w:numPr>
        <w:spacing w:line="276" w:lineRule="auto"/>
        <w:jc w:val="both"/>
        <w:rPr>
          <w:rFonts w:asciiTheme="majorHAnsi" w:eastAsiaTheme="majorEastAsia" w:hAnsiTheme="majorHAnsi" w:cstheme="majorBidi"/>
          <w:b/>
          <w:color w:val="000000" w:themeColor="text1"/>
          <w:sz w:val="28"/>
          <w:szCs w:val="36"/>
        </w:rPr>
      </w:pPr>
      <w:r w:rsidRPr="00C304B6">
        <w:rPr>
          <w:rFonts w:asciiTheme="majorHAnsi" w:eastAsiaTheme="majorEastAsia" w:hAnsiTheme="majorHAnsi" w:cstheme="majorBidi"/>
          <w:b/>
          <w:color w:val="000000" w:themeColor="text1"/>
          <w:sz w:val="28"/>
          <w:szCs w:val="36"/>
        </w:rPr>
        <w:lastRenderedPageBreak/>
        <w:t>¿Cómo avanza la</w:t>
      </w:r>
      <w:r w:rsidR="008A65C7">
        <w:rPr>
          <w:rFonts w:asciiTheme="majorHAnsi" w:eastAsiaTheme="majorEastAsia" w:hAnsiTheme="majorHAnsi" w:cstheme="majorBidi"/>
          <w:b/>
          <w:color w:val="000000" w:themeColor="text1"/>
          <w:sz w:val="28"/>
          <w:szCs w:val="36"/>
        </w:rPr>
        <w:t xml:space="preserve"> investigación y </w:t>
      </w:r>
      <w:r w:rsidR="008A65C7" w:rsidRPr="00C304B6">
        <w:rPr>
          <w:rFonts w:asciiTheme="majorHAnsi" w:eastAsiaTheme="majorEastAsia" w:hAnsiTheme="majorHAnsi" w:cstheme="majorBidi"/>
          <w:b/>
          <w:color w:val="000000" w:themeColor="text1"/>
          <w:sz w:val="28"/>
          <w:szCs w:val="36"/>
        </w:rPr>
        <w:t>sanción</w:t>
      </w:r>
      <w:r w:rsidRPr="00C304B6">
        <w:rPr>
          <w:rFonts w:asciiTheme="majorHAnsi" w:eastAsiaTheme="majorEastAsia" w:hAnsiTheme="majorHAnsi" w:cstheme="majorBidi"/>
          <w:b/>
          <w:color w:val="000000" w:themeColor="text1"/>
          <w:sz w:val="28"/>
          <w:szCs w:val="36"/>
        </w:rPr>
        <w:t xml:space="preserve"> a estos hechos? </w:t>
      </w:r>
    </w:p>
    <w:p w:rsidR="00687649" w:rsidRDefault="00452607" w:rsidP="00687649">
      <w:pPr>
        <w:jc w:val="both"/>
        <w:rPr>
          <w:b/>
          <w:i/>
          <w:sz w:val="24"/>
          <w:szCs w:val="24"/>
        </w:rPr>
      </w:pPr>
      <w:r>
        <w:rPr>
          <w:b/>
          <w:i/>
          <w:sz w:val="24"/>
          <w:szCs w:val="24"/>
        </w:rPr>
        <w:t>L</w:t>
      </w:r>
      <w:r w:rsidRPr="00516ED2">
        <w:rPr>
          <w:b/>
          <w:i/>
          <w:sz w:val="24"/>
          <w:szCs w:val="24"/>
        </w:rPr>
        <w:t xml:space="preserve">os delitos más cometidos en los hechos de corrupción identificados por el Monitor Ciudadano </w:t>
      </w:r>
      <w:r>
        <w:rPr>
          <w:b/>
          <w:i/>
          <w:sz w:val="24"/>
          <w:szCs w:val="24"/>
        </w:rPr>
        <w:t>fueron p</w:t>
      </w:r>
      <w:r w:rsidR="00687649" w:rsidRPr="00516ED2">
        <w:rPr>
          <w:b/>
          <w:i/>
          <w:sz w:val="24"/>
          <w:szCs w:val="24"/>
        </w:rPr>
        <w:t>eculado (18%), celebración indebida de contratos (13%), falsedad en documento público (12%) y concierto para delinquir (11%)</w:t>
      </w:r>
      <w:r w:rsidR="00687649">
        <w:rPr>
          <w:b/>
          <w:i/>
          <w:sz w:val="24"/>
          <w:szCs w:val="24"/>
        </w:rPr>
        <w:t xml:space="preserve">. </w:t>
      </w:r>
    </w:p>
    <w:p w:rsidR="00F1521D" w:rsidRDefault="00F1521D" w:rsidP="00687649">
      <w:pPr>
        <w:jc w:val="both"/>
        <w:rPr>
          <w:b/>
          <w:i/>
          <w:sz w:val="24"/>
          <w:szCs w:val="24"/>
        </w:rPr>
      </w:pPr>
      <w:r w:rsidRPr="00F1521D">
        <w:rPr>
          <w:b/>
          <w:i/>
          <w:noProof/>
          <w:sz w:val="24"/>
          <w:szCs w:val="24"/>
          <w:lang w:eastAsia="es-CO"/>
        </w:rPr>
        <w:drawing>
          <wp:inline distT="0" distB="0" distL="0" distR="0">
            <wp:extent cx="5612130" cy="2270125"/>
            <wp:effectExtent l="0" t="0" r="0" b="0"/>
            <wp:docPr id="21" name="Gráfico 13">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00000000-0008-0000-05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1521D" w:rsidRPr="00F1521D" w:rsidRDefault="00F1521D" w:rsidP="00F1521D">
      <w:pPr>
        <w:spacing w:line="240" w:lineRule="auto"/>
        <w:jc w:val="center"/>
        <w:rPr>
          <w:sz w:val="20"/>
          <w:szCs w:val="24"/>
        </w:rPr>
      </w:pPr>
      <w:r w:rsidRPr="00666D4D">
        <w:rPr>
          <w:sz w:val="20"/>
          <w:szCs w:val="24"/>
        </w:rPr>
        <w:t xml:space="preserve">Fuente: </w:t>
      </w:r>
      <w:r>
        <w:rPr>
          <w:sz w:val="20"/>
          <w:szCs w:val="24"/>
        </w:rPr>
        <w:t xml:space="preserve">Informe </w:t>
      </w:r>
      <w:r w:rsidRPr="00666D4D">
        <w:rPr>
          <w:sz w:val="20"/>
          <w:szCs w:val="24"/>
        </w:rPr>
        <w:t xml:space="preserve">Monitor Ciudadano </w:t>
      </w:r>
      <w:r>
        <w:rPr>
          <w:sz w:val="20"/>
          <w:szCs w:val="24"/>
        </w:rPr>
        <w:t xml:space="preserve">(2016-2018) </w:t>
      </w:r>
    </w:p>
    <w:p w:rsidR="00687649" w:rsidRDefault="00687649" w:rsidP="00687649">
      <w:pPr>
        <w:jc w:val="both"/>
        <w:rPr>
          <w:b/>
          <w:i/>
          <w:sz w:val="24"/>
          <w:szCs w:val="24"/>
        </w:rPr>
      </w:pPr>
      <w:r w:rsidRPr="00A204E3">
        <w:rPr>
          <w:b/>
          <w:i/>
          <w:sz w:val="24"/>
          <w:szCs w:val="24"/>
        </w:rPr>
        <w:t>De</w:t>
      </w:r>
      <w:r w:rsidR="00496DFD">
        <w:rPr>
          <w:b/>
          <w:i/>
          <w:sz w:val="24"/>
          <w:szCs w:val="24"/>
        </w:rPr>
        <w:t xml:space="preserve"> </w:t>
      </w:r>
      <w:r w:rsidR="00496DFD" w:rsidRPr="00496DFD">
        <w:rPr>
          <w:b/>
          <w:i/>
          <w:sz w:val="24"/>
          <w:szCs w:val="24"/>
        </w:rPr>
        <w:t>887</w:t>
      </w:r>
      <w:r w:rsidRPr="00A204E3">
        <w:rPr>
          <w:b/>
          <w:i/>
          <w:sz w:val="24"/>
          <w:szCs w:val="24"/>
        </w:rPr>
        <w:t xml:space="preserve"> actores involucrados en los hechos de corrupción reportados por la prensa entre 2016 y 2018</w:t>
      </w:r>
      <w:r>
        <w:rPr>
          <w:b/>
          <w:i/>
          <w:sz w:val="24"/>
          <w:szCs w:val="24"/>
        </w:rPr>
        <w:t xml:space="preserve"> que alcanzaron un proceso judicial, el 71</w:t>
      </w:r>
      <w:r w:rsidRPr="00A204E3">
        <w:rPr>
          <w:b/>
          <w:i/>
          <w:sz w:val="24"/>
          <w:szCs w:val="24"/>
        </w:rPr>
        <w:t xml:space="preserve">% </w:t>
      </w:r>
      <w:r>
        <w:rPr>
          <w:b/>
          <w:i/>
          <w:sz w:val="24"/>
          <w:szCs w:val="24"/>
        </w:rPr>
        <w:t xml:space="preserve">fueron investigaciones de tipo </w:t>
      </w:r>
      <w:r w:rsidRPr="00A204E3">
        <w:rPr>
          <w:b/>
          <w:i/>
          <w:sz w:val="24"/>
          <w:szCs w:val="24"/>
        </w:rPr>
        <w:t xml:space="preserve">penal, </w:t>
      </w:r>
      <w:r>
        <w:rPr>
          <w:b/>
          <w:i/>
          <w:sz w:val="24"/>
          <w:szCs w:val="24"/>
        </w:rPr>
        <w:t>el 21</w:t>
      </w:r>
      <w:r w:rsidRPr="00A204E3">
        <w:rPr>
          <w:b/>
          <w:i/>
          <w:sz w:val="24"/>
          <w:szCs w:val="24"/>
        </w:rPr>
        <w:t xml:space="preserve">% </w:t>
      </w:r>
      <w:r>
        <w:rPr>
          <w:b/>
          <w:i/>
          <w:sz w:val="24"/>
          <w:szCs w:val="24"/>
        </w:rPr>
        <w:t>de tipo disciplinario</w:t>
      </w:r>
      <w:r w:rsidRPr="00A204E3">
        <w:rPr>
          <w:b/>
          <w:i/>
          <w:sz w:val="24"/>
          <w:szCs w:val="24"/>
        </w:rPr>
        <w:t xml:space="preserve"> y</w:t>
      </w:r>
      <w:r w:rsidR="00AC0B47">
        <w:rPr>
          <w:b/>
          <w:i/>
          <w:sz w:val="24"/>
          <w:szCs w:val="24"/>
        </w:rPr>
        <w:t xml:space="preserve"> el</w:t>
      </w:r>
      <w:r w:rsidRPr="00A204E3">
        <w:rPr>
          <w:b/>
          <w:i/>
          <w:sz w:val="24"/>
          <w:szCs w:val="24"/>
        </w:rPr>
        <w:t xml:space="preserve"> 8% </w:t>
      </w:r>
      <w:r>
        <w:rPr>
          <w:b/>
          <w:i/>
          <w:sz w:val="24"/>
          <w:szCs w:val="24"/>
        </w:rPr>
        <w:t xml:space="preserve">de carácter fiscal </w:t>
      </w:r>
    </w:p>
    <w:p w:rsidR="00687649" w:rsidRDefault="00687649" w:rsidP="00687649">
      <w:pPr>
        <w:jc w:val="both"/>
        <w:rPr>
          <w:b/>
          <w:i/>
          <w:sz w:val="24"/>
          <w:szCs w:val="24"/>
        </w:rPr>
      </w:pPr>
      <w:r>
        <w:rPr>
          <w:b/>
          <w:i/>
          <w:sz w:val="24"/>
          <w:szCs w:val="24"/>
        </w:rPr>
        <w:t xml:space="preserve">De los procesos penales, el 48% </w:t>
      </w:r>
      <w:r w:rsidR="008A65C7">
        <w:rPr>
          <w:b/>
          <w:i/>
          <w:sz w:val="24"/>
          <w:szCs w:val="24"/>
        </w:rPr>
        <w:t xml:space="preserve">del reporte de procesos judiciales obtenidos por la prensa </w:t>
      </w:r>
      <w:r>
        <w:rPr>
          <w:b/>
          <w:i/>
          <w:sz w:val="24"/>
          <w:szCs w:val="24"/>
        </w:rPr>
        <w:t>llegó hasta la captura del actor. De los procesos disciplinarios, el 44% llegaron al fallo de sanción disciplinaria</w:t>
      </w:r>
      <w:r w:rsidR="00AC0B47">
        <w:rPr>
          <w:b/>
          <w:i/>
          <w:sz w:val="24"/>
          <w:szCs w:val="24"/>
        </w:rPr>
        <w:t>. D</w:t>
      </w:r>
      <w:r>
        <w:rPr>
          <w:b/>
          <w:i/>
          <w:sz w:val="24"/>
          <w:szCs w:val="24"/>
        </w:rPr>
        <w:t xml:space="preserve">e los procesos fiscales, el 32% llegaron a etapa de investigación. </w:t>
      </w:r>
    </w:p>
    <w:p w:rsidR="00687649" w:rsidRPr="00516ED2" w:rsidRDefault="008A65C7" w:rsidP="00687649">
      <w:pPr>
        <w:jc w:val="both"/>
        <w:rPr>
          <w:b/>
          <w:sz w:val="24"/>
          <w:szCs w:val="24"/>
        </w:rPr>
      </w:pPr>
      <w:r>
        <w:rPr>
          <w:b/>
          <w:i/>
          <w:sz w:val="24"/>
          <w:szCs w:val="24"/>
        </w:rPr>
        <w:t>De las</w:t>
      </w:r>
      <w:r w:rsidR="00687649">
        <w:rPr>
          <w:b/>
          <w:i/>
          <w:sz w:val="24"/>
          <w:szCs w:val="24"/>
        </w:rPr>
        <w:t xml:space="preserve"> </w:t>
      </w:r>
      <w:r>
        <w:rPr>
          <w:b/>
          <w:i/>
          <w:sz w:val="24"/>
          <w:szCs w:val="24"/>
        </w:rPr>
        <w:t>920 investigaciones y procesos</w:t>
      </w:r>
      <w:r w:rsidR="00687649">
        <w:rPr>
          <w:b/>
          <w:i/>
          <w:sz w:val="24"/>
          <w:szCs w:val="24"/>
        </w:rPr>
        <w:t xml:space="preserve"> judiciales </w:t>
      </w:r>
      <w:r w:rsidR="004D3624">
        <w:rPr>
          <w:b/>
          <w:i/>
          <w:sz w:val="24"/>
          <w:szCs w:val="24"/>
        </w:rPr>
        <w:t xml:space="preserve">adelantados con base a fuentes de prensa, </w:t>
      </w:r>
      <w:r w:rsidR="00687649">
        <w:rPr>
          <w:b/>
          <w:i/>
          <w:sz w:val="24"/>
          <w:szCs w:val="24"/>
        </w:rPr>
        <w:t xml:space="preserve">sólo el 23% llevó a una condena, sanción o multa impuesta a los actores por los hechos cometidos. </w:t>
      </w:r>
    </w:p>
    <w:p w:rsidR="00687649" w:rsidRPr="002A6BD9" w:rsidRDefault="00687649" w:rsidP="00687649">
      <w:pPr>
        <w:jc w:val="both"/>
        <w:rPr>
          <w:sz w:val="24"/>
          <w:szCs w:val="24"/>
        </w:rPr>
      </w:pPr>
      <w:r w:rsidRPr="002A6BD9">
        <w:rPr>
          <w:sz w:val="24"/>
          <w:szCs w:val="24"/>
        </w:rPr>
        <w:t xml:space="preserve">Esta sección presenta, por un lado, el tipo de investigación de los actores involucrados y por otro, las sanciones establecidas, lo cual permite visibilizar cuántos de los procesos de investigación culminaron en una sanción efectiva.  </w:t>
      </w:r>
    </w:p>
    <w:p w:rsidR="00687649" w:rsidRDefault="00687649" w:rsidP="00687649">
      <w:pPr>
        <w:jc w:val="both"/>
        <w:rPr>
          <w:sz w:val="24"/>
          <w:szCs w:val="24"/>
        </w:rPr>
      </w:pPr>
      <w:r w:rsidRPr="002A6BD9">
        <w:rPr>
          <w:sz w:val="24"/>
          <w:szCs w:val="24"/>
        </w:rPr>
        <w:t xml:space="preserve">La </w:t>
      </w:r>
      <w:r w:rsidR="00EA2B6D">
        <w:rPr>
          <w:sz w:val="24"/>
          <w:szCs w:val="24"/>
        </w:rPr>
        <w:t>siguiente tabla</w:t>
      </w:r>
      <w:r>
        <w:rPr>
          <w:sz w:val="24"/>
          <w:szCs w:val="24"/>
        </w:rPr>
        <w:t xml:space="preserve"> muestra que un 71</w:t>
      </w:r>
      <w:r w:rsidRPr="002A6BD9">
        <w:rPr>
          <w:sz w:val="24"/>
          <w:szCs w:val="24"/>
        </w:rPr>
        <w:t>% de las investigaciones</w:t>
      </w:r>
      <w:r w:rsidR="00EA2B6D">
        <w:rPr>
          <w:sz w:val="24"/>
          <w:szCs w:val="24"/>
        </w:rPr>
        <w:t xml:space="preserve"> fueron </w:t>
      </w:r>
      <w:r w:rsidR="00EA2B6D" w:rsidRPr="002A6BD9">
        <w:rPr>
          <w:sz w:val="24"/>
          <w:szCs w:val="24"/>
        </w:rPr>
        <w:t>de</w:t>
      </w:r>
      <w:r w:rsidRPr="002A6BD9">
        <w:rPr>
          <w:sz w:val="24"/>
          <w:szCs w:val="24"/>
        </w:rPr>
        <w:t xml:space="preserve"> tipo penal, seguido de u</w:t>
      </w:r>
      <w:r w:rsidR="00505030">
        <w:rPr>
          <w:sz w:val="24"/>
          <w:szCs w:val="24"/>
        </w:rPr>
        <w:t>n 21 % de tipo disciplinario y 7</w:t>
      </w:r>
      <w:r w:rsidRPr="002A6BD9">
        <w:rPr>
          <w:sz w:val="24"/>
          <w:szCs w:val="24"/>
        </w:rPr>
        <w:t>% de tipo fiscal. Esto revela entonces que la mayoría de los hechos son asociados a la comisión de un delito, bien sean en contra de la administración p</w:t>
      </w:r>
      <w:r>
        <w:rPr>
          <w:sz w:val="24"/>
          <w:szCs w:val="24"/>
        </w:rPr>
        <w:t>ública, que afectan</w:t>
      </w:r>
      <w:r w:rsidRPr="002A6BD9">
        <w:rPr>
          <w:sz w:val="24"/>
          <w:szCs w:val="24"/>
        </w:rPr>
        <w:t xml:space="preserve"> el certamen democr</w:t>
      </w:r>
      <w:r>
        <w:rPr>
          <w:sz w:val="24"/>
          <w:szCs w:val="24"/>
        </w:rPr>
        <w:t xml:space="preserve">ático y/o que son catalogados como </w:t>
      </w:r>
      <w:r w:rsidRPr="002A6BD9">
        <w:rPr>
          <w:sz w:val="24"/>
          <w:szCs w:val="24"/>
        </w:rPr>
        <w:t xml:space="preserve">un delito electoral. </w:t>
      </w:r>
    </w:p>
    <w:p w:rsidR="00F1521D" w:rsidRDefault="00F1521D" w:rsidP="004158E6">
      <w:pPr>
        <w:jc w:val="center"/>
        <w:rPr>
          <w:b/>
          <w:sz w:val="24"/>
          <w:szCs w:val="24"/>
        </w:rPr>
      </w:pPr>
    </w:p>
    <w:p w:rsidR="00F1521D" w:rsidRDefault="00F1521D" w:rsidP="004158E6">
      <w:pPr>
        <w:jc w:val="center"/>
        <w:rPr>
          <w:b/>
          <w:sz w:val="24"/>
          <w:szCs w:val="24"/>
        </w:rPr>
      </w:pPr>
    </w:p>
    <w:p w:rsidR="004158E6" w:rsidRPr="004158E6" w:rsidRDefault="004158E6" w:rsidP="004158E6">
      <w:pPr>
        <w:jc w:val="center"/>
        <w:rPr>
          <w:b/>
          <w:sz w:val="24"/>
          <w:szCs w:val="24"/>
        </w:rPr>
      </w:pPr>
      <w:r w:rsidRPr="004158E6">
        <w:rPr>
          <w:b/>
          <w:sz w:val="24"/>
          <w:szCs w:val="24"/>
        </w:rPr>
        <w:t>Tabla #2. Número y porcentaje de procesos por tipo de investigación judicial</w:t>
      </w:r>
    </w:p>
    <w:tbl>
      <w:tblPr>
        <w:tblStyle w:val="Tablaconcuadrcula"/>
        <w:tblW w:w="0" w:type="auto"/>
        <w:tblLook w:val="04A0"/>
      </w:tblPr>
      <w:tblGrid>
        <w:gridCol w:w="2992"/>
        <w:gridCol w:w="2993"/>
        <w:gridCol w:w="2993"/>
      </w:tblGrid>
      <w:tr w:rsidR="00EA2B6D" w:rsidTr="00EA2B6D">
        <w:tc>
          <w:tcPr>
            <w:tcW w:w="2992" w:type="dxa"/>
          </w:tcPr>
          <w:p w:rsidR="00EA2B6D" w:rsidRPr="00EA2B6D" w:rsidRDefault="00EA2B6D" w:rsidP="00EA2B6D">
            <w:pPr>
              <w:jc w:val="center"/>
              <w:rPr>
                <w:b/>
                <w:sz w:val="24"/>
                <w:szCs w:val="24"/>
              </w:rPr>
            </w:pPr>
            <w:r w:rsidRPr="00EA2B6D">
              <w:rPr>
                <w:b/>
                <w:sz w:val="24"/>
                <w:szCs w:val="24"/>
              </w:rPr>
              <w:t>Tipo de investigación</w:t>
            </w:r>
          </w:p>
        </w:tc>
        <w:tc>
          <w:tcPr>
            <w:tcW w:w="2993" w:type="dxa"/>
          </w:tcPr>
          <w:p w:rsidR="00EA2B6D" w:rsidRPr="00EA2B6D" w:rsidRDefault="00EA2B6D" w:rsidP="00EA2B6D">
            <w:pPr>
              <w:jc w:val="center"/>
              <w:rPr>
                <w:b/>
                <w:sz w:val="24"/>
                <w:szCs w:val="24"/>
              </w:rPr>
            </w:pPr>
            <w:r w:rsidRPr="00EA2B6D">
              <w:rPr>
                <w:b/>
                <w:sz w:val="24"/>
                <w:szCs w:val="24"/>
              </w:rPr>
              <w:t>Número de procesos</w:t>
            </w:r>
          </w:p>
        </w:tc>
        <w:tc>
          <w:tcPr>
            <w:tcW w:w="2993" w:type="dxa"/>
          </w:tcPr>
          <w:p w:rsidR="00EA2B6D" w:rsidRPr="00EA2B6D" w:rsidRDefault="00EA2B6D" w:rsidP="00EA2B6D">
            <w:pPr>
              <w:jc w:val="center"/>
              <w:rPr>
                <w:b/>
                <w:sz w:val="24"/>
                <w:szCs w:val="24"/>
              </w:rPr>
            </w:pPr>
            <w:r w:rsidRPr="00EA2B6D">
              <w:rPr>
                <w:b/>
                <w:sz w:val="24"/>
                <w:szCs w:val="24"/>
              </w:rPr>
              <w:t>Porcentaje</w:t>
            </w:r>
          </w:p>
        </w:tc>
      </w:tr>
      <w:tr w:rsidR="00EA2B6D" w:rsidTr="00EA2B6D">
        <w:tc>
          <w:tcPr>
            <w:tcW w:w="2992" w:type="dxa"/>
          </w:tcPr>
          <w:p w:rsidR="00EA2B6D" w:rsidRDefault="00EA2B6D" w:rsidP="00687649">
            <w:pPr>
              <w:jc w:val="both"/>
              <w:rPr>
                <w:sz w:val="24"/>
                <w:szCs w:val="24"/>
              </w:rPr>
            </w:pPr>
            <w:r>
              <w:rPr>
                <w:sz w:val="24"/>
                <w:szCs w:val="24"/>
              </w:rPr>
              <w:t>Penal</w:t>
            </w:r>
          </w:p>
        </w:tc>
        <w:tc>
          <w:tcPr>
            <w:tcW w:w="2993" w:type="dxa"/>
          </w:tcPr>
          <w:p w:rsidR="00EA2B6D" w:rsidRDefault="00EA2B6D" w:rsidP="00687649">
            <w:pPr>
              <w:jc w:val="both"/>
              <w:rPr>
                <w:sz w:val="24"/>
                <w:szCs w:val="24"/>
              </w:rPr>
            </w:pPr>
            <w:r>
              <w:rPr>
                <w:sz w:val="24"/>
                <w:szCs w:val="24"/>
              </w:rPr>
              <w:t>658</w:t>
            </w:r>
          </w:p>
        </w:tc>
        <w:tc>
          <w:tcPr>
            <w:tcW w:w="2993" w:type="dxa"/>
          </w:tcPr>
          <w:p w:rsidR="00EA2B6D" w:rsidRDefault="00EA2B6D" w:rsidP="00687649">
            <w:pPr>
              <w:jc w:val="both"/>
              <w:rPr>
                <w:sz w:val="24"/>
                <w:szCs w:val="24"/>
              </w:rPr>
            </w:pPr>
            <w:r>
              <w:rPr>
                <w:sz w:val="24"/>
                <w:szCs w:val="24"/>
              </w:rPr>
              <w:t>72%</w:t>
            </w:r>
          </w:p>
        </w:tc>
      </w:tr>
      <w:tr w:rsidR="00EA2B6D" w:rsidTr="00EA2B6D">
        <w:tc>
          <w:tcPr>
            <w:tcW w:w="2992" w:type="dxa"/>
          </w:tcPr>
          <w:p w:rsidR="00EA2B6D" w:rsidRDefault="00EA2B6D" w:rsidP="00687649">
            <w:pPr>
              <w:jc w:val="both"/>
              <w:rPr>
                <w:sz w:val="24"/>
                <w:szCs w:val="24"/>
              </w:rPr>
            </w:pPr>
            <w:r>
              <w:rPr>
                <w:sz w:val="24"/>
                <w:szCs w:val="24"/>
              </w:rPr>
              <w:t xml:space="preserve">Disciplinaria </w:t>
            </w:r>
          </w:p>
        </w:tc>
        <w:tc>
          <w:tcPr>
            <w:tcW w:w="2993" w:type="dxa"/>
          </w:tcPr>
          <w:p w:rsidR="00EA2B6D" w:rsidRDefault="00EA2B6D" w:rsidP="00687649">
            <w:pPr>
              <w:jc w:val="both"/>
              <w:rPr>
                <w:sz w:val="24"/>
                <w:szCs w:val="24"/>
              </w:rPr>
            </w:pPr>
            <w:r>
              <w:rPr>
                <w:sz w:val="24"/>
                <w:szCs w:val="24"/>
              </w:rPr>
              <w:t>191</w:t>
            </w:r>
          </w:p>
        </w:tc>
        <w:tc>
          <w:tcPr>
            <w:tcW w:w="2993" w:type="dxa"/>
          </w:tcPr>
          <w:p w:rsidR="00EA2B6D" w:rsidRDefault="00EA2B6D" w:rsidP="00687649">
            <w:pPr>
              <w:jc w:val="both"/>
              <w:rPr>
                <w:sz w:val="24"/>
                <w:szCs w:val="24"/>
              </w:rPr>
            </w:pPr>
            <w:r>
              <w:rPr>
                <w:sz w:val="24"/>
                <w:szCs w:val="24"/>
              </w:rPr>
              <w:t>21%</w:t>
            </w:r>
          </w:p>
        </w:tc>
      </w:tr>
      <w:tr w:rsidR="00EA2B6D" w:rsidTr="00EA2B6D">
        <w:tc>
          <w:tcPr>
            <w:tcW w:w="2992" w:type="dxa"/>
          </w:tcPr>
          <w:p w:rsidR="00EA2B6D" w:rsidRDefault="00EA2B6D" w:rsidP="00687649">
            <w:pPr>
              <w:jc w:val="both"/>
              <w:rPr>
                <w:sz w:val="24"/>
                <w:szCs w:val="24"/>
              </w:rPr>
            </w:pPr>
            <w:r>
              <w:rPr>
                <w:sz w:val="24"/>
                <w:szCs w:val="24"/>
              </w:rPr>
              <w:t>Fiscal</w:t>
            </w:r>
          </w:p>
        </w:tc>
        <w:tc>
          <w:tcPr>
            <w:tcW w:w="2993" w:type="dxa"/>
          </w:tcPr>
          <w:p w:rsidR="00EA2B6D" w:rsidRDefault="00EA2B6D" w:rsidP="00687649">
            <w:pPr>
              <w:jc w:val="both"/>
              <w:rPr>
                <w:sz w:val="24"/>
                <w:szCs w:val="24"/>
              </w:rPr>
            </w:pPr>
            <w:r>
              <w:rPr>
                <w:sz w:val="24"/>
                <w:szCs w:val="24"/>
              </w:rPr>
              <w:t>71</w:t>
            </w:r>
          </w:p>
        </w:tc>
        <w:tc>
          <w:tcPr>
            <w:tcW w:w="2993" w:type="dxa"/>
          </w:tcPr>
          <w:p w:rsidR="00EA2B6D" w:rsidRDefault="00EA2B6D" w:rsidP="00687649">
            <w:pPr>
              <w:jc w:val="both"/>
              <w:rPr>
                <w:sz w:val="24"/>
                <w:szCs w:val="24"/>
              </w:rPr>
            </w:pPr>
            <w:r>
              <w:rPr>
                <w:sz w:val="24"/>
                <w:szCs w:val="24"/>
              </w:rPr>
              <w:t>7%</w:t>
            </w:r>
          </w:p>
        </w:tc>
      </w:tr>
      <w:tr w:rsidR="00EA2B6D" w:rsidTr="00EA2B6D">
        <w:trPr>
          <w:trHeight w:val="242"/>
        </w:trPr>
        <w:tc>
          <w:tcPr>
            <w:tcW w:w="2992" w:type="dxa"/>
          </w:tcPr>
          <w:p w:rsidR="00EA2B6D" w:rsidRPr="00EA2B6D" w:rsidRDefault="00EA2B6D" w:rsidP="00687649">
            <w:pPr>
              <w:jc w:val="both"/>
              <w:rPr>
                <w:b/>
                <w:sz w:val="24"/>
                <w:szCs w:val="24"/>
              </w:rPr>
            </w:pPr>
            <w:r w:rsidRPr="00EA2B6D">
              <w:rPr>
                <w:b/>
                <w:sz w:val="24"/>
                <w:szCs w:val="24"/>
              </w:rPr>
              <w:t>Total</w:t>
            </w:r>
          </w:p>
        </w:tc>
        <w:tc>
          <w:tcPr>
            <w:tcW w:w="2993" w:type="dxa"/>
          </w:tcPr>
          <w:p w:rsidR="00EA2B6D" w:rsidRDefault="00EA2B6D" w:rsidP="00687649">
            <w:pPr>
              <w:jc w:val="both"/>
              <w:rPr>
                <w:sz w:val="24"/>
                <w:szCs w:val="24"/>
              </w:rPr>
            </w:pPr>
            <w:r>
              <w:rPr>
                <w:sz w:val="24"/>
                <w:szCs w:val="24"/>
              </w:rPr>
              <w:t>920</w:t>
            </w:r>
          </w:p>
        </w:tc>
        <w:tc>
          <w:tcPr>
            <w:tcW w:w="2993" w:type="dxa"/>
          </w:tcPr>
          <w:p w:rsidR="00EA2B6D" w:rsidRDefault="00EA2B6D" w:rsidP="00687649">
            <w:pPr>
              <w:jc w:val="both"/>
              <w:rPr>
                <w:sz w:val="24"/>
                <w:szCs w:val="24"/>
              </w:rPr>
            </w:pPr>
            <w:r>
              <w:rPr>
                <w:sz w:val="24"/>
                <w:szCs w:val="24"/>
              </w:rPr>
              <w:t xml:space="preserve">100% </w:t>
            </w:r>
          </w:p>
        </w:tc>
      </w:tr>
    </w:tbl>
    <w:p w:rsidR="00EA2B6D" w:rsidRPr="00EA2B6D" w:rsidRDefault="00EA2B6D" w:rsidP="00EA2B6D">
      <w:pPr>
        <w:spacing w:line="240" w:lineRule="auto"/>
        <w:jc w:val="center"/>
        <w:rPr>
          <w:sz w:val="20"/>
          <w:szCs w:val="24"/>
        </w:rPr>
      </w:pPr>
      <w:r w:rsidRPr="00666D4D">
        <w:rPr>
          <w:sz w:val="20"/>
          <w:szCs w:val="24"/>
        </w:rPr>
        <w:t xml:space="preserve">Fuente: </w:t>
      </w:r>
      <w:r>
        <w:rPr>
          <w:sz w:val="20"/>
          <w:szCs w:val="24"/>
        </w:rPr>
        <w:t xml:space="preserve">Informe </w:t>
      </w:r>
      <w:r w:rsidRPr="00666D4D">
        <w:rPr>
          <w:sz w:val="20"/>
          <w:szCs w:val="24"/>
        </w:rPr>
        <w:t xml:space="preserve">Monitor Ciudadano </w:t>
      </w:r>
      <w:r>
        <w:rPr>
          <w:sz w:val="20"/>
          <w:szCs w:val="24"/>
        </w:rPr>
        <w:t xml:space="preserve">(2016-2018) </w:t>
      </w:r>
    </w:p>
    <w:p w:rsidR="00687649" w:rsidRDefault="00687649" w:rsidP="00687649">
      <w:pPr>
        <w:jc w:val="both"/>
        <w:rPr>
          <w:sz w:val="24"/>
          <w:szCs w:val="24"/>
        </w:rPr>
      </w:pPr>
      <w:r w:rsidRPr="003906EA">
        <w:rPr>
          <w:sz w:val="24"/>
          <w:szCs w:val="24"/>
        </w:rPr>
        <w:t>Ahora bien, tomando</w:t>
      </w:r>
      <w:r w:rsidRPr="005B4E44">
        <w:rPr>
          <w:sz w:val="24"/>
          <w:szCs w:val="24"/>
        </w:rPr>
        <w:t xml:space="preserve"> en cuenta </w:t>
      </w:r>
      <w:r>
        <w:rPr>
          <w:sz w:val="24"/>
          <w:szCs w:val="24"/>
        </w:rPr>
        <w:t xml:space="preserve">el reporte de </w:t>
      </w:r>
      <w:r w:rsidRPr="005B4E44">
        <w:rPr>
          <w:sz w:val="24"/>
          <w:szCs w:val="24"/>
        </w:rPr>
        <w:t>las sanciones</w:t>
      </w:r>
      <w:r>
        <w:rPr>
          <w:sz w:val="24"/>
          <w:szCs w:val="24"/>
        </w:rPr>
        <w:t xml:space="preserve"> efectivas</w:t>
      </w:r>
      <w:r w:rsidRPr="005B4E44">
        <w:rPr>
          <w:sz w:val="24"/>
          <w:szCs w:val="24"/>
        </w:rPr>
        <w:t>, se pudo identificar que</w:t>
      </w:r>
      <w:r>
        <w:rPr>
          <w:sz w:val="24"/>
          <w:szCs w:val="24"/>
        </w:rPr>
        <w:t xml:space="preserve"> </w:t>
      </w:r>
      <w:r w:rsidR="00E61132">
        <w:rPr>
          <w:sz w:val="24"/>
          <w:szCs w:val="24"/>
        </w:rPr>
        <w:t xml:space="preserve">del total de investigaciones disciplinarias, el </w:t>
      </w:r>
      <w:r>
        <w:rPr>
          <w:sz w:val="24"/>
          <w:szCs w:val="24"/>
        </w:rPr>
        <w:t>(4</w:t>
      </w:r>
      <w:r w:rsidR="00505030">
        <w:rPr>
          <w:sz w:val="24"/>
          <w:szCs w:val="24"/>
        </w:rPr>
        <w:t>9</w:t>
      </w:r>
      <w:r>
        <w:rPr>
          <w:sz w:val="24"/>
          <w:szCs w:val="24"/>
        </w:rPr>
        <w:t xml:space="preserve">%) </w:t>
      </w:r>
      <w:r w:rsidR="00E61132">
        <w:rPr>
          <w:sz w:val="24"/>
          <w:szCs w:val="24"/>
        </w:rPr>
        <w:t xml:space="preserve">culminó en una sanción e inhabilidad del actor. Del total de investigaciones penales, el 14% culminó en la condena del actor involucrado y del total de investigaciones fiscales, el 17% culminó en fallo con responsabilidad fiscal. </w:t>
      </w:r>
    </w:p>
    <w:p w:rsidR="00687649" w:rsidRPr="00C606CB" w:rsidRDefault="004158E6" w:rsidP="00687649">
      <w:pPr>
        <w:jc w:val="center"/>
        <w:rPr>
          <w:b/>
          <w:sz w:val="24"/>
          <w:szCs w:val="24"/>
        </w:rPr>
      </w:pPr>
      <w:r>
        <w:rPr>
          <w:b/>
          <w:sz w:val="24"/>
          <w:szCs w:val="24"/>
        </w:rPr>
        <w:t>Tabla #3</w:t>
      </w:r>
      <w:r w:rsidR="00687649">
        <w:rPr>
          <w:b/>
          <w:sz w:val="24"/>
          <w:szCs w:val="24"/>
        </w:rPr>
        <w:t xml:space="preserve"> </w:t>
      </w:r>
      <w:r w:rsidR="00E61132">
        <w:rPr>
          <w:b/>
          <w:sz w:val="24"/>
          <w:szCs w:val="24"/>
        </w:rPr>
        <w:t xml:space="preserve">Número </w:t>
      </w:r>
      <w:r w:rsidR="00687649" w:rsidRPr="00C606CB">
        <w:rPr>
          <w:b/>
          <w:sz w:val="24"/>
          <w:szCs w:val="24"/>
        </w:rPr>
        <w:t>de sanciones impuestas por tipo de investigación</w:t>
      </w:r>
    </w:p>
    <w:tbl>
      <w:tblPr>
        <w:tblW w:w="3096" w:type="pct"/>
        <w:jc w:val="center"/>
        <w:tblInd w:w="532" w:type="dxa"/>
        <w:tblCellMar>
          <w:left w:w="70" w:type="dxa"/>
          <w:right w:w="70" w:type="dxa"/>
        </w:tblCellMar>
        <w:tblLook w:val="04A0"/>
      </w:tblPr>
      <w:tblGrid>
        <w:gridCol w:w="2673"/>
        <w:gridCol w:w="2886"/>
      </w:tblGrid>
      <w:tr w:rsidR="00E61132" w:rsidRPr="00C606CB" w:rsidTr="00E61132">
        <w:trPr>
          <w:trHeight w:val="315"/>
          <w:jc w:val="center"/>
        </w:trPr>
        <w:tc>
          <w:tcPr>
            <w:tcW w:w="2404" w:type="pct"/>
            <w:tcBorders>
              <w:top w:val="single" w:sz="4" w:space="0" w:color="auto"/>
              <w:left w:val="single" w:sz="4" w:space="0" w:color="auto"/>
              <w:bottom w:val="single" w:sz="4" w:space="0" w:color="auto"/>
              <w:right w:val="single" w:sz="4" w:space="0" w:color="auto"/>
            </w:tcBorders>
            <w:noWrap/>
            <w:vAlign w:val="bottom"/>
            <w:hideMark/>
          </w:tcPr>
          <w:p w:rsidR="00E61132" w:rsidRPr="00C606CB" w:rsidRDefault="00E61132" w:rsidP="00C905E7">
            <w:pPr>
              <w:spacing w:after="0" w:line="240" w:lineRule="auto"/>
              <w:jc w:val="center"/>
              <w:rPr>
                <w:b/>
                <w:sz w:val="24"/>
                <w:szCs w:val="24"/>
              </w:rPr>
            </w:pPr>
            <w:r w:rsidRPr="00C606CB">
              <w:rPr>
                <w:b/>
                <w:sz w:val="24"/>
                <w:szCs w:val="24"/>
              </w:rPr>
              <w:t>Tipo de investigación</w:t>
            </w:r>
          </w:p>
        </w:tc>
        <w:tc>
          <w:tcPr>
            <w:tcW w:w="2596" w:type="pct"/>
            <w:tcBorders>
              <w:top w:val="single" w:sz="4" w:space="0" w:color="auto"/>
              <w:left w:val="nil"/>
              <w:bottom w:val="single" w:sz="4" w:space="0" w:color="auto"/>
              <w:right w:val="single" w:sz="4" w:space="0" w:color="auto"/>
            </w:tcBorders>
            <w:shd w:val="clear" w:color="auto" w:fill="FFFFFF"/>
          </w:tcPr>
          <w:p w:rsidR="00E61132" w:rsidRPr="00505030" w:rsidRDefault="00E61132" w:rsidP="00C905E7">
            <w:pPr>
              <w:spacing w:after="0" w:line="240" w:lineRule="auto"/>
              <w:jc w:val="center"/>
              <w:rPr>
                <w:rFonts w:ascii="Calibri" w:eastAsia="Times New Roman" w:hAnsi="Calibri"/>
                <w:b/>
                <w:bCs/>
                <w:color w:val="000000"/>
                <w:sz w:val="24"/>
                <w:szCs w:val="24"/>
                <w:lang w:eastAsia="es-CO"/>
              </w:rPr>
            </w:pPr>
            <w:r w:rsidRPr="00505030">
              <w:rPr>
                <w:rFonts w:ascii="Calibri" w:eastAsia="Times New Roman" w:hAnsi="Calibri"/>
                <w:b/>
                <w:bCs/>
                <w:color w:val="000000"/>
                <w:sz w:val="24"/>
                <w:szCs w:val="24"/>
                <w:lang w:eastAsia="es-CO"/>
              </w:rPr>
              <w:t>Número de procesos</w:t>
            </w:r>
          </w:p>
        </w:tc>
      </w:tr>
      <w:tr w:rsidR="00E61132" w:rsidRPr="00C606CB" w:rsidTr="00E61132">
        <w:trPr>
          <w:trHeight w:val="300"/>
          <w:jc w:val="center"/>
        </w:trPr>
        <w:tc>
          <w:tcPr>
            <w:tcW w:w="2404" w:type="pct"/>
            <w:tcBorders>
              <w:top w:val="nil"/>
              <w:left w:val="single" w:sz="4" w:space="0" w:color="auto"/>
              <w:bottom w:val="single" w:sz="4" w:space="0" w:color="auto"/>
              <w:right w:val="single" w:sz="4" w:space="0" w:color="auto"/>
            </w:tcBorders>
            <w:noWrap/>
            <w:vAlign w:val="bottom"/>
          </w:tcPr>
          <w:p w:rsidR="00E61132" w:rsidRDefault="00E61132" w:rsidP="00C905E7">
            <w:pPr>
              <w:spacing w:after="0" w:line="240" w:lineRule="auto"/>
              <w:rPr>
                <w:sz w:val="24"/>
                <w:szCs w:val="24"/>
              </w:rPr>
            </w:pPr>
            <w:r>
              <w:rPr>
                <w:sz w:val="24"/>
                <w:szCs w:val="24"/>
              </w:rPr>
              <w:t xml:space="preserve">Sanción </w:t>
            </w:r>
            <w:r w:rsidRPr="00C606CB">
              <w:rPr>
                <w:sz w:val="24"/>
                <w:szCs w:val="24"/>
              </w:rPr>
              <w:t xml:space="preserve">disciplinaria </w:t>
            </w:r>
          </w:p>
        </w:tc>
        <w:tc>
          <w:tcPr>
            <w:tcW w:w="2596" w:type="pct"/>
            <w:tcBorders>
              <w:top w:val="nil"/>
              <w:left w:val="nil"/>
              <w:bottom w:val="single" w:sz="4" w:space="0" w:color="auto"/>
              <w:right w:val="single" w:sz="4" w:space="0" w:color="auto"/>
            </w:tcBorders>
          </w:tcPr>
          <w:p w:rsidR="00E61132" w:rsidRPr="00E61132" w:rsidRDefault="00E61132" w:rsidP="00E61132">
            <w:pPr>
              <w:spacing w:after="0" w:line="240" w:lineRule="auto"/>
              <w:jc w:val="center"/>
              <w:rPr>
                <w:b/>
                <w:sz w:val="24"/>
                <w:szCs w:val="24"/>
              </w:rPr>
            </w:pPr>
            <w:r w:rsidRPr="00E61132">
              <w:rPr>
                <w:b/>
                <w:sz w:val="24"/>
                <w:szCs w:val="24"/>
              </w:rPr>
              <w:t>94</w:t>
            </w:r>
          </w:p>
        </w:tc>
      </w:tr>
      <w:tr w:rsidR="00E61132" w:rsidRPr="00C606CB" w:rsidTr="00E61132">
        <w:trPr>
          <w:trHeight w:val="182"/>
          <w:jc w:val="center"/>
        </w:trPr>
        <w:tc>
          <w:tcPr>
            <w:tcW w:w="2404" w:type="pct"/>
            <w:tcBorders>
              <w:top w:val="nil"/>
              <w:left w:val="single" w:sz="4" w:space="0" w:color="auto"/>
              <w:bottom w:val="single" w:sz="4" w:space="0" w:color="auto"/>
              <w:right w:val="single" w:sz="4" w:space="0" w:color="auto"/>
            </w:tcBorders>
            <w:noWrap/>
            <w:vAlign w:val="bottom"/>
            <w:hideMark/>
          </w:tcPr>
          <w:p w:rsidR="00E61132" w:rsidRPr="00C606CB" w:rsidRDefault="00E61132" w:rsidP="00C905E7">
            <w:pPr>
              <w:spacing w:after="0" w:line="240" w:lineRule="auto"/>
              <w:rPr>
                <w:sz w:val="24"/>
                <w:szCs w:val="24"/>
              </w:rPr>
            </w:pPr>
            <w:r>
              <w:rPr>
                <w:sz w:val="24"/>
                <w:szCs w:val="24"/>
              </w:rPr>
              <w:t>Condena Penal</w:t>
            </w:r>
          </w:p>
        </w:tc>
        <w:tc>
          <w:tcPr>
            <w:tcW w:w="2596" w:type="pct"/>
            <w:tcBorders>
              <w:top w:val="nil"/>
              <w:left w:val="nil"/>
              <w:bottom w:val="single" w:sz="4" w:space="0" w:color="auto"/>
              <w:right w:val="single" w:sz="4" w:space="0" w:color="auto"/>
            </w:tcBorders>
          </w:tcPr>
          <w:p w:rsidR="00E61132" w:rsidRPr="00E61132" w:rsidRDefault="00E61132" w:rsidP="00E61132">
            <w:pPr>
              <w:spacing w:after="0" w:line="240" w:lineRule="auto"/>
              <w:jc w:val="center"/>
              <w:rPr>
                <w:b/>
                <w:sz w:val="24"/>
                <w:szCs w:val="24"/>
              </w:rPr>
            </w:pPr>
            <w:r w:rsidRPr="00E61132">
              <w:rPr>
                <w:b/>
                <w:sz w:val="24"/>
                <w:szCs w:val="24"/>
              </w:rPr>
              <w:t>93</w:t>
            </w:r>
          </w:p>
        </w:tc>
      </w:tr>
      <w:tr w:rsidR="00E61132" w:rsidRPr="00C606CB" w:rsidTr="00E61132">
        <w:trPr>
          <w:trHeight w:val="300"/>
          <w:jc w:val="center"/>
        </w:trPr>
        <w:tc>
          <w:tcPr>
            <w:tcW w:w="2404" w:type="pct"/>
            <w:tcBorders>
              <w:top w:val="nil"/>
              <w:left w:val="single" w:sz="4" w:space="0" w:color="auto"/>
              <w:bottom w:val="single" w:sz="4" w:space="0" w:color="auto"/>
              <w:right w:val="single" w:sz="4" w:space="0" w:color="auto"/>
            </w:tcBorders>
            <w:noWrap/>
            <w:vAlign w:val="bottom"/>
            <w:hideMark/>
          </w:tcPr>
          <w:p w:rsidR="00E61132" w:rsidRPr="00C606CB" w:rsidRDefault="00E61132" w:rsidP="00E37834">
            <w:pPr>
              <w:spacing w:after="0" w:line="240" w:lineRule="auto"/>
              <w:rPr>
                <w:sz w:val="24"/>
                <w:szCs w:val="24"/>
              </w:rPr>
            </w:pPr>
            <w:r>
              <w:rPr>
                <w:sz w:val="24"/>
                <w:szCs w:val="24"/>
              </w:rPr>
              <w:t>Responsabilidad Fiscal</w:t>
            </w:r>
          </w:p>
        </w:tc>
        <w:tc>
          <w:tcPr>
            <w:tcW w:w="2596" w:type="pct"/>
            <w:tcBorders>
              <w:top w:val="nil"/>
              <w:left w:val="nil"/>
              <w:bottom w:val="single" w:sz="4" w:space="0" w:color="auto"/>
              <w:right w:val="single" w:sz="4" w:space="0" w:color="auto"/>
            </w:tcBorders>
          </w:tcPr>
          <w:p w:rsidR="00E61132" w:rsidRPr="00E61132" w:rsidRDefault="00E61132" w:rsidP="00E61132">
            <w:pPr>
              <w:spacing w:after="0" w:line="240" w:lineRule="auto"/>
              <w:jc w:val="center"/>
              <w:rPr>
                <w:b/>
                <w:sz w:val="24"/>
                <w:szCs w:val="24"/>
              </w:rPr>
            </w:pPr>
            <w:r w:rsidRPr="00E61132">
              <w:rPr>
                <w:b/>
                <w:sz w:val="24"/>
                <w:szCs w:val="24"/>
              </w:rPr>
              <w:t>12</w:t>
            </w:r>
          </w:p>
        </w:tc>
      </w:tr>
      <w:tr w:rsidR="00E61132" w:rsidRPr="00C606CB" w:rsidTr="00E61132">
        <w:trPr>
          <w:trHeight w:val="300"/>
          <w:jc w:val="center"/>
        </w:trPr>
        <w:tc>
          <w:tcPr>
            <w:tcW w:w="2404" w:type="pct"/>
            <w:tcBorders>
              <w:top w:val="nil"/>
              <w:left w:val="single" w:sz="4" w:space="0" w:color="auto"/>
              <w:bottom w:val="single" w:sz="4" w:space="0" w:color="auto"/>
              <w:right w:val="single" w:sz="4" w:space="0" w:color="auto"/>
            </w:tcBorders>
            <w:noWrap/>
            <w:vAlign w:val="bottom"/>
            <w:hideMark/>
          </w:tcPr>
          <w:p w:rsidR="00E61132" w:rsidRPr="00E61132" w:rsidRDefault="00E61132" w:rsidP="00E61132">
            <w:pPr>
              <w:spacing w:after="0" w:line="240" w:lineRule="auto"/>
              <w:jc w:val="center"/>
              <w:rPr>
                <w:b/>
                <w:sz w:val="24"/>
                <w:szCs w:val="24"/>
              </w:rPr>
            </w:pPr>
            <w:r w:rsidRPr="00E61132">
              <w:rPr>
                <w:b/>
                <w:sz w:val="24"/>
                <w:szCs w:val="24"/>
              </w:rPr>
              <w:t>Total</w:t>
            </w:r>
          </w:p>
        </w:tc>
        <w:tc>
          <w:tcPr>
            <w:tcW w:w="2596" w:type="pct"/>
            <w:tcBorders>
              <w:top w:val="nil"/>
              <w:left w:val="nil"/>
              <w:bottom w:val="single" w:sz="4" w:space="0" w:color="auto"/>
              <w:right w:val="single" w:sz="4" w:space="0" w:color="auto"/>
            </w:tcBorders>
          </w:tcPr>
          <w:p w:rsidR="00E61132" w:rsidRPr="00E61132" w:rsidRDefault="00E61132" w:rsidP="00E61132">
            <w:pPr>
              <w:spacing w:after="0" w:line="240" w:lineRule="auto"/>
              <w:jc w:val="center"/>
              <w:rPr>
                <w:b/>
                <w:sz w:val="24"/>
                <w:szCs w:val="24"/>
              </w:rPr>
            </w:pPr>
            <w:r w:rsidRPr="00E61132">
              <w:rPr>
                <w:b/>
                <w:sz w:val="24"/>
                <w:szCs w:val="24"/>
              </w:rPr>
              <w:t>199</w:t>
            </w:r>
          </w:p>
        </w:tc>
      </w:tr>
    </w:tbl>
    <w:p w:rsidR="00687649" w:rsidRPr="003C6468" w:rsidRDefault="00687649" w:rsidP="00687649">
      <w:pPr>
        <w:spacing w:line="240" w:lineRule="auto"/>
        <w:jc w:val="center"/>
        <w:rPr>
          <w:sz w:val="20"/>
          <w:szCs w:val="24"/>
        </w:rPr>
      </w:pPr>
      <w:r w:rsidRPr="00666D4D">
        <w:rPr>
          <w:sz w:val="20"/>
          <w:szCs w:val="24"/>
        </w:rPr>
        <w:t xml:space="preserve">Fuente: </w:t>
      </w:r>
      <w:r>
        <w:rPr>
          <w:sz w:val="20"/>
          <w:szCs w:val="24"/>
        </w:rPr>
        <w:t xml:space="preserve">Informe </w:t>
      </w:r>
      <w:r w:rsidRPr="00666D4D">
        <w:rPr>
          <w:sz w:val="20"/>
          <w:szCs w:val="24"/>
        </w:rPr>
        <w:t xml:space="preserve">Monitor Ciudadano </w:t>
      </w:r>
      <w:r>
        <w:rPr>
          <w:sz w:val="20"/>
          <w:szCs w:val="24"/>
        </w:rPr>
        <w:t xml:space="preserve">(2016-2018) </w:t>
      </w:r>
    </w:p>
    <w:p w:rsidR="00687649" w:rsidRDefault="00687649" w:rsidP="00687649">
      <w:pPr>
        <w:jc w:val="both"/>
        <w:rPr>
          <w:sz w:val="24"/>
          <w:szCs w:val="24"/>
        </w:rPr>
      </w:pPr>
      <w:r w:rsidRPr="00DA60F3">
        <w:rPr>
          <w:sz w:val="24"/>
          <w:szCs w:val="24"/>
        </w:rPr>
        <w:t>Ahora bien,</w:t>
      </w:r>
      <w:r>
        <w:rPr>
          <w:sz w:val="24"/>
          <w:szCs w:val="24"/>
        </w:rPr>
        <w:t xml:space="preserve"> dentro de las variables identificadas por</w:t>
      </w:r>
      <w:r w:rsidRPr="00DA60F3">
        <w:rPr>
          <w:sz w:val="24"/>
          <w:szCs w:val="24"/>
        </w:rPr>
        <w:t xml:space="preserve"> el Monitor Ciudadano</w:t>
      </w:r>
      <w:r>
        <w:rPr>
          <w:sz w:val="24"/>
          <w:szCs w:val="24"/>
        </w:rPr>
        <w:t xml:space="preserve"> se obtuvo el año de ocurrencia de los hechos según la prensa. Esta</w:t>
      </w:r>
      <w:r w:rsidR="00140133">
        <w:rPr>
          <w:sz w:val="24"/>
          <w:szCs w:val="24"/>
        </w:rPr>
        <w:t xml:space="preserve"> fecha</w:t>
      </w:r>
      <w:r>
        <w:rPr>
          <w:sz w:val="24"/>
          <w:szCs w:val="24"/>
        </w:rPr>
        <w:t xml:space="preserve"> se pudo cruzar con </w:t>
      </w:r>
      <w:r w:rsidR="00662567">
        <w:rPr>
          <w:sz w:val="24"/>
          <w:szCs w:val="24"/>
        </w:rPr>
        <w:t>la información d</w:t>
      </w:r>
      <w:r>
        <w:rPr>
          <w:sz w:val="24"/>
          <w:szCs w:val="24"/>
        </w:rPr>
        <w:t>el año en el cual se emitió el fallo judicial de los actores involucrados en hechos de corrupción. Teniendo en cuenta la diversidad en las etapas procesales que cada órgano de control maneja, la articulación institucional en el manejo de los procesos y el papel que tiene</w:t>
      </w:r>
      <w:r w:rsidR="00B20D3B">
        <w:rPr>
          <w:sz w:val="24"/>
          <w:szCs w:val="24"/>
        </w:rPr>
        <w:t xml:space="preserve">n </w:t>
      </w:r>
      <w:r w:rsidR="003020E8">
        <w:rPr>
          <w:sz w:val="24"/>
          <w:szCs w:val="24"/>
        </w:rPr>
        <w:t xml:space="preserve">dichas </w:t>
      </w:r>
      <w:r w:rsidR="00B20D3B">
        <w:rPr>
          <w:sz w:val="24"/>
          <w:szCs w:val="24"/>
        </w:rPr>
        <w:t xml:space="preserve">entidades </w:t>
      </w:r>
      <w:r>
        <w:rPr>
          <w:sz w:val="24"/>
          <w:szCs w:val="24"/>
        </w:rPr>
        <w:t xml:space="preserve">en </w:t>
      </w:r>
      <w:r w:rsidRPr="005661F8">
        <w:rPr>
          <w:sz w:val="24"/>
          <w:szCs w:val="24"/>
        </w:rPr>
        <w:t>materia de lucha contra la corrupción</w:t>
      </w:r>
      <w:r w:rsidR="00B20D3B">
        <w:rPr>
          <w:sz w:val="24"/>
          <w:szCs w:val="24"/>
        </w:rPr>
        <w:t xml:space="preserve"> y </w:t>
      </w:r>
      <w:r>
        <w:rPr>
          <w:sz w:val="24"/>
          <w:szCs w:val="24"/>
        </w:rPr>
        <w:t xml:space="preserve">frente a la imposición de </w:t>
      </w:r>
      <w:r w:rsidRPr="005661F8">
        <w:rPr>
          <w:sz w:val="24"/>
          <w:szCs w:val="24"/>
        </w:rPr>
        <w:t xml:space="preserve">sanciones </w:t>
      </w:r>
      <w:r w:rsidR="003020E8">
        <w:rPr>
          <w:sz w:val="24"/>
          <w:szCs w:val="24"/>
        </w:rPr>
        <w:t xml:space="preserve">penales, disciplinarias y fiscales </w:t>
      </w:r>
      <w:r w:rsidRPr="005661F8">
        <w:rPr>
          <w:sz w:val="24"/>
          <w:szCs w:val="24"/>
        </w:rPr>
        <w:t>a individuos implicados en delitos co</w:t>
      </w:r>
      <w:r>
        <w:rPr>
          <w:sz w:val="24"/>
          <w:szCs w:val="24"/>
        </w:rPr>
        <w:t>ntra la administración pública</w:t>
      </w:r>
      <w:r>
        <w:rPr>
          <w:rStyle w:val="Refdenotaalpie"/>
          <w:sz w:val="24"/>
          <w:szCs w:val="24"/>
        </w:rPr>
        <w:footnoteReference w:id="27"/>
      </w:r>
      <w:r>
        <w:rPr>
          <w:sz w:val="24"/>
          <w:szCs w:val="24"/>
        </w:rPr>
        <w:t>,  los resultados arrojaron que en promedio la sanción dis</w:t>
      </w:r>
      <w:r w:rsidR="00EA4806">
        <w:rPr>
          <w:sz w:val="24"/>
          <w:szCs w:val="24"/>
        </w:rPr>
        <w:t>ciplinaria es la que menos tardó</w:t>
      </w:r>
      <w:r>
        <w:rPr>
          <w:sz w:val="24"/>
          <w:szCs w:val="24"/>
        </w:rPr>
        <w:t xml:space="preserve"> en emitirse (3,3 años), seguido de la condena penal (4,2 años) y por último los procesos de responsabilidad fiscal (4,4 años)</w:t>
      </w:r>
      <w:r w:rsidR="00140133">
        <w:rPr>
          <w:sz w:val="24"/>
          <w:szCs w:val="24"/>
        </w:rPr>
        <w:t>.</w:t>
      </w:r>
      <w:r>
        <w:rPr>
          <w:sz w:val="24"/>
          <w:szCs w:val="24"/>
        </w:rPr>
        <w:t xml:space="preserve"> </w:t>
      </w:r>
    </w:p>
    <w:p w:rsidR="00EA4806" w:rsidRDefault="00EA4806" w:rsidP="00687649">
      <w:pPr>
        <w:jc w:val="both"/>
        <w:rPr>
          <w:sz w:val="24"/>
          <w:szCs w:val="24"/>
        </w:rPr>
      </w:pPr>
    </w:p>
    <w:p w:rsidR="00687649" w:rsidRPr="009B78D7" w:rsidRDefault="004158E6" w:rsidP="00687649">
      <w:pPr>
        <w:jc w:val="both"/>
        <w:rPr>
          <w:b/>
          <w:sz w:val="24"/>
          <w:szCs w:val="24"/>
        </w:rPr>
      </w:pPr>
      <w:r>
        <w:rPr>
          <w:b/>
          <w:sz w:val="24"/>
          <w:szCs w:val="24"/>
        </w:rPr>
        <w:lastRenderedPageBreak/>
        <w:t>Tabla #4</w:t>
      </w:r>
      <w:r w:rsidR="00687649" w:rsidRPr="009B78D7">
        <w:rPr>
          <w:b/>
          <w:sz w:val="24"/>
          <w:szCs w:val="24"/>
        </w:rPr>
        <w:t>. Promedio de años entre el año del hech</w:t>
      </w:r>
      <w:r w:rsidR="00687649">
        <w:rPr>
          <w:b/>
          <w:sz w:val="24"/>
          <w:szCs w:val="24"/>
        </w:rPr>
        <w:t>o</w:t>
      </w:r>
      <w:r w:rsidR="00687649" w:rsidRPr="009B78D7">
        <w:rPr>
          <w:b/>
          <w:sz w:val="24"/>
          <w:szCs w:val="24"/>
        </w:rPr>
        <w:t xml:space="preserve"> de corrupción vs año de emisión del fallo judicial </w:t>
      </w:r>
    </w:p>
    <w:tbl>
      <w:tblPr>
        <w:tblW w:w="8027" w:type="dxa"/>
        <w:jc w:val="center"/>
        <w:tblCellMar>
          <w:left w:w="0" w:type="dxa"/>
          <w:right w:w="0" w:type="dxa"/>
        </w:tblCellMar>
        <w:tblLook w:val="04A0"/>
      </w:tblPr>
      <w:tblGrid>
        <w:gridCol w:w="4042"/>
        <w:gridCol w:w="3985"/>
      </w:tblGrid>
      <w:tr w:rsidR="00687649" w:rsidRPr="00516ED2" w:rsidTr="00C905E7">
        <w:trPr>
          <w:trHeight w:val="495"/>
          <w:jc w:val="center"/>
        </w:trPr>
        <w:tc>
          <w:tcPr>
            <w:tcW w:w="4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687649" w:rsidRPr="009B78D7" w:rsidRDefault="00687649" w:rsidP="00C905E7">
            <w:pPr>
              <w:jc w:val="center"/>
              <w:rPr>
                <w:b/>
                <w:sz w:val="24"/>
                <w:szCs w:val="24"/>
              </w:rPr>
            </w:pPr>
            <w:r w:rsidRPr="009B78D7">
              <w:rPr>
                <w:b/>
                <w:sz w:val="24"/>
                <w:szCs w:val="24"/>
              </w:rPr>
              <w:t>Tipo de investigación</w:t>
            </w:r>
          </w:p>
        </w:tc>
        <w:tc>
          <w:tcPr>
            <w:tcW w:w="3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687649" w:rsidRPr="009B78D7" w:rsidRDefault="00687649" w:rsidP="00C905E7">
            <w:pPr>
              <w:jc w:val="center"/>
              <w:rPr>
                <w:b/>
                <w:sz w:val="24"/>
                <w:szCs w:val="24"/>
              </w:rPr>
            </w:pPr>
            <w:r w:rsidRPr="009B78D7">
              <w:rPr>
                <w:b/>
                <w:sz w:val="24"/>
                <w:szCs w:val="24"/>
              </w:rPr>
              <w:t>Promedio de Tiempo del caso (Años)</w:t>
            </w:r>
          </w:p>
        </w:tc>
      </w:tr>
      <w:tr w:rsidR="00687649" w:rsidRPr="00516ED2" w:rsidTr="00C905E7">
        <w:trPr>
          <w:trHeight w:val="495"/>
          <w:jc w:val="center"/>
        </w:trPr>
        <w:tc>
          <w:tcPr>
            <w:tcW w:w="4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687649" w:rsidRPr="009B78D7" w:rsidRDefault="00687649" w:rsidP="00C905E7">
            <w:pPr>
              <w:jc w:val="center"/>
              <w:rPr>
                <w:sz w:val="24"/>
                <w:szCs w:val="24"/>
              </w:rPr>
            </w:pPr>
            <w:r w:rsidRPr="009B78D7">
              <w:rPr>
                <w:sz w:val="24"/>
                <w:szCs w:val="24"/>
              </w:rPr>
              <w:t>Disciplinaria</w:t>
            </w:r>
          </w:p>
        </w:tc>
        <w:tc>
          <w:tcPr>
            <w:tcW w:w="3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687649" w:rsidRPr="009B78D7" w:rsidRDefault="00687649" w:rsidP="00C905E7">
            <w:pPr>
              <w:jc w:val="center"/>
              <w:rPr>
                <w:sz w:val="24"/>
                <w:szCs w:val="24"/>
              </w:rPr>
            </w:pPr>
            <w:r w:rsidRPr="009B78D7">
              <w:rPr>
                <w:sz w:val="24"/>
                <w:szCs w:val="24"/>
              </w:rPr>
              <w:t>3,3</w:t>
            </w:r>
          </w:p>
        </w:tc>
      </w:tr>
      <w:tr w:rsidR="00687649" w:rsidRPr="00516ED2" w:rsidTr="00C905E7">
        <w:trPr>
          <w:trHeight w:val="547"/>
          <w:jc w:val="center"/>
        </w:trPr>
        <w:tc>
          <w:tcPr>
            <w:tcW w:w="4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687649" w:rsidRPr="009B78D7" w:rsidRDefault="00687649" w:rsidP="00C905E7">
            <w:pPr>
              <w:jc w:val="center"/>
              <w:rPr>
                <w:sz w:val="24"/>
                <w:szCs w:val="24"/>
              </w:rPr>
            </w:pPr>
            <w:r w:rsidRPr="009B78D7">
              <w:rPr>
                <w:sz w:val="24"/>
                <w:szCs w:val="24"/>
              </w:rPr>
              <w:t>Fiscal</w:t>
            </w:r>
          </w:p>
        </w:tc>
        <w:tc>
          <w:tcPr>
            <w:tcW w:w="3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687649" w:rsidRPr="009B78D7" w:rsidRDefault="00687649" w:rsidP="00C905E7">
            <w:pPr>
              <w:jc w:val="center"/>
              <w:rPr>
                <w:sz w:val="24"/>
                <w:szCs w:val="24"/>
              </w:rPr>
            </w:pPr>
            <w:r w:rsidRPr="009B78D7">
              <w:rPr>
                <w:sz w:val="24"/>
                <w:szCs w:val="24"/>
              </w:rPr>
              <w:t>4,4</w:t>
            </w:r>
          </w:p>
        </w:tc>
      </w:tr>
      <w:tr w:rsidR="00687649" w:rsidRPr="00516ED2" w:rsidTr="00C905E7">
        <w:trPr>
          <w:trHeight w:val="547"/>
          <w:jc w:val="center"/>
        </w:trPr>
        <w:tc>
          <w:tcPr>
            <w:tcW w:w="4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687649" w:rsidRPr="009B78D7" w:rsidRDefault="00687649" w:rsidP="00C905E7">
            <w:pPr>
              <w:jc w:val="center"/>
              <w:rPr>
                <w:sz w:val="24"/>
                <w:szCs w:val="24"/>
              </w:rPr>
            </w:pPr>
            <w:r w:rsidRPr="009B78D7">
              <w:rPr>
                <w:sz w:val="24"/>
                <w:szCs w:val="24"/>
              </w:rPr>
              <w:t>Penal</w:t>
            </w:r>
          </w:p>
        </w:tc>
        <w:tc>
          <w:tcPr>
            <w:tcW w:w="3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687649" w:rsidRPr="009B78D7" w:rsidRDefault="00687649" w:rsidP="00C905E7">
            <w:pPr>
              <w:jc w:val="center"/>
              <w:rPr>
                <w:sz w:val="24"/>
                <w:szCs w:val="24"/>
              </w:rPr>
            </w:pPr>
            <w:r w:rsidRPr="009B78D7">
              <w:rPr>
                <w:sz w:val="24"/>
                <w:szCs w:val="24"/>
              </w:rPr>
              <w:t>4,2</w:t>
            </w:r>
          </w:p>
        </w:tc>
      </w:tr>
      <w:tr w:rsidR="00687649" w:rsidRPr="00516ED2" w:rsidTr="00C905E7">
        <w:trPr>
          <w:trHeight w:val="547"/>
          <w:jc w:val="center"/>
        </w:trPr>
        <w:tc>
          <w:tcPr>
            <w:tcW w:w="40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687649" w:rsidRPr="009B78D7" w:rsidRDefault="00687649" w:rsidP="00C905E7">
            <w:pPr>
              <w:jc w:val="center"/>
              <w:rPr>
                <w:b/>
                <w:sz w:val="24"/>
                <w:szCs w:val="24"/>
              </w:rPr>
            </w:pPr>
            <w:r w:rsidRPr="009B78D7">
              <w:rPr>
                <w:b/>
                <w:sz w:val="24"/>
                <w:szCs w:val="24"/>
              </w:rPr>
              <w:t>Total promedio</w:t>
            </w:r>
          </w:p>
        </w:tc>
        <w:tc>
          <w:tcPr>
            <w:tcW w:w="3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rsidR="00687649" w:rsidRPr="009B78D7" w:rsidRDefault="00687649" w:rsidP="00C905E7">
            <w:pPr>
              <w:jc w:val="center"/>
              <w:rPr>
                <w:b/>
                <w:sz w:val="24"/>
                <w:szCs w:val="24"/>
              </w:rPr>
            </w:pPr>
            <w:r w:rsidRPr="009B78D7">
              <w:rPr>
                <w:b/>
                <w:sz w:val="24"/>
                <w:szCs w:val="24"/>
              </w:rPr>
              <w:t>4,0</w:t>
            </w:r>
          </w:p>
        </w:tc>
      </w:tr>
    </w:tbl>
    <w:p w:rsidR="00687649" w:rsidRPr="005A27E2" w:rsidRDefault="00687649" w:rsidP="005A27E2">
      <w:pPr>
        <w:spacing w:line="240" w:lineRule="auto"/>
        <w:jc w:val="center"/>
        <w:rPr>
          <w:sz w:val="20"/>
          <w:szCs w:val="24"/>
        </w:rPr>
      </w:pPr>
      <w:r w:rsidRPr="00666D4D">
        <w:rPr>
          <w:sz w:val="20"/>
          <w:szCs w:val="24"/>
        </w:rPr>
        <w:t xml:space="preserve">Fuente: </w:t>
      </w:r>
      <w:r>
        <w:rPr>
          <w:sz w:val="20"/>
          <w:szCs w:val="24"/>
        </w:rPr>
        <w:t xml:space="preserve">Informe </w:t>
      </w:r>
      <w:r w:rsidRPr="00666D4D">
        <w:rPr>
          <w:sz w:val="20"/>
          <w:szCs w:val="24"/>
        </w:rPr>
        <w:t xml:space="preserve">Monitor Ciudadano </w:t>
      </w:r>
      <w:r>
        <w:rPr>
          <w:sz w:val="20"/>
          <w:szCs w:val="24"/>
        </w:rPr>
        <w:t xml:space="preserve">(2016-2018) </w:t>
      </w:r>
    </w:p>
    <w:p w:rsidR="000771E0" w:rsidRDefault="003C2F62" w:rsidP="00687649">
      <w:pPr>
        <w:pStyle w:val="Ttulo1"/>
        <w:rPr>
          <w:b/>
          <w:color w:val="000000" w:themeColor="text1"/>
          <w:sz w:val="28"/>
        </w:rPr>
      </w:pPr>
      <w:bookmarkStart w:id="29" w:name="_Toc4077122"/>
      <w:bookmarkStart w:id="30" w:name="_Toc4077245"/>
      <w:bookmarkStart w:id="31" w:name="_Toc488047271"/>
      <w:bookmarkStart w:id="32" w:name="_Toc519496664"/>
      <w:r>
        <w:rPr>
          <w:b/>
          <w:color w:val="000000" w:themeColor="text1"/>
          <w:sz w:val="28"/>
        </w:rPr>
        <w:t>7</w:t>
      </w:r>
      <w:r w:rsidR="00687649">
        <w:rPr>
          <w:b/>
          <w:color w:val="000000" w:themeColor="text1"/>
          <w:sz w:val="28"/>
        </w:rPr>
        <w:t>. La c</w:t>
      </w:r>
      <w:r w:rsidR="000771E0">
        <w:rPr>
          <w:b/>
          <w:color w:val="000000" w:themeColor="text1"/>
          <w:sz w:val="28"/>
        </w:rPr>
        <w:t>orru</w:t>
      </w:r>
      <w:r w:rsidR="00795D07">
        <w:rPr>
          <w:b/>
          <w:color w:val="000000" w:themeColor="text1"/>
          <w:sz w:val="28"/>
        </w:rPr>
        <w:t>pción</w:t>
      </w:r>
      <w:r w:rsidR="000771E0">
        <w:rPr>
          <w:b/>
          <w:color w:val="000000" w:themeColor="text1"/>
          <w:sz w:val="28"/>
        </w:rPr>
        <w:t xml:space="preserve"> </w:t>
      </w:r>
      <w:r w:rsidR="00687649">
        <w:rPr>
          <w:b/>
          <w:color w:val="000000" w:themeColor="text1"/>
          <w:sz w:val="28"/>
        </w:rPr>
        <w:t xml:space="preserve">viola los </w:t>
      </w:r>
      <w:r w:rsidR="0089264B">
        <w:rPr>
          <w:b/>
          <w:color w:val="000000" w:themeColor="text1"/>
          <w:sz w:val="28"/>
        </w:rPr>
        <w:t>derechos humanos</w:t>
      </w:r>
      <w:bookmarkEnd w:id="29"/>
      <w:bookmarkEnd w:id="30"/>
      <w:r w:rsidR="001A1084">
        <w:rPr>
          <w:b/>
          <w:color w:val="000000" w:themeColor="text1"/>
          <w:sz w:val="28"/>
        </w:rPr>
        <w:t xml:space="preserve"> </w:t>
      </w:r>
    </w:p>
    <w:p w:rsidR="00E24789" w:rsidRDefault="00E24789" w:rsidP="00E24789">
      <w:pPr>
        <w:jc w:val="both"/>
      </w:pPr>
    </w:p>
    <w:p w:rsidR="00DD305F" w:rsidRDefault="00B94042">
      <w:pPr>
        <w:jc w:val="both"/>
        <w:rPr>
          <w:b/>
          <w:i/>
          <w:sz w:val="24"/>
          <w:szCs w:val="24"/>
        </w:rPr>
      </w:pPr>
      <w:r>
        <w:rPr>
          <w:b/>
          <w:i/>
          <w:sz w:val="24"/>
          <w:szCs w:val="24"/>
        </w:rPr>
        <w:t xml:space="preserve">El </w:t>
      </w:r>
      <w:r w:rsidR="00DF0C6F">
        <w:rPr>
          <w:b/>
          <w:i/>
          <w:sz w:val="24"/>
          <w:szCs w:val="24"/>
        </w:rPr>
        <w:t>59</w:t>
      </w:r>
      <w:r w:rsidR="001A1084" w:rsidRPr="00E24789">
        <w:rPr>
          <w:b/>
          <w:i/>
          <w:sz w:val="24"/>
          <w:szCs w:val="24"/>
        </w:rPr>
        <w:t xml:space="preserve">% de los hechos de corrupción </w:t>
      </w:r>
      <w:r w:rsidR="00AF2B6D" w:rsidRPr="00E24789">
        <w:rPr>
          <w:b/>
          <w:i/>
          <w:sz w:val="24"/>
          <w:szCs w:val="24"/>
        </w:rPr>
        <w:t xml:space="preserve">identificados en </w:t>
      </w:r>
      <w:r w:rsidR="001A1084" w:rsidRPr="00E24789">
        <w:rPr>
          <w:b/>
          <w:i/>
          <w:sz w:val="24"/>
          <w:szCs w:val="24"/>
        </w:rPr>
        <w:t>el Monitor Ciudadano afectaron derechos económicos, sociales y culturales</w:t>
      </w:r>
      <w:r w:rsidR="00D021E4" w:rsidRPr="00E24789">
        <w:rPr>
          <w:b/>
          <w:i/>
          <w:sz w:val="24"/>
          <w:szCs w:val="24"/>
        </w:rPr>
        <w:t xml:space="preserve">. Le sigue un </w:t>
      </w:r>
      <w:r>
        <w:rPr>
          <w:b/>
          <w:i/>
          <w:sz w:val="24"/>
          <w:szCs w:val="24"/>
        </w:rPr>
        <w:t>3</w:t>
      </w:r>
      <w:r w:rsidR="00DF0C6F">
        <w:rPr>
          <w:b/>
          <w:i/>
          <w:sz w:val="24"/>
          <w:szCs w:val="24"/>
        </w:rPr>
        <w:t>9</w:t>
      </w:r>
      <w:r w:rsidR="001A1084" w:rsidRPr="00E24789">
        <w:rPr>
          <w:b/>
          <w:i/>
          <w:sz w:val="24"/>
          <w:szCs w:val="24"/>
        </w:rPr>
        <w:t xml:space="preserve">% </w:t>
      </w:r>
      <w:r w:rsidR="00D021E4" w:rsidRPr="00E24789">
        <w:rPr>
          <w:b/>
          <w:i/>
          <w:sz w:val="24"/>
          <w:szCs w:val="24"/>
        </w:rPr>
        <w:t xml:space="preserve">de hechos </w:t>
      </w:r>
      <w:r w:rsidR="001A1084" w:rsidRPr="00E24789">
        <w:rPr>
          <w:b/>
          <w:i/>
          <w:sz w:val="24"/>
          <w:szCs w:val="24"/>
        </w:rPr>
        <w:t>que afectaron derechos civiles y pol</w:t>
      </w:r>
      <w:r w:rsidR="00BC4EE1">
        <w:rPr>
          <w:b/>
          <w:i/>
          <w:sz w:val="24"/>
          <w:szCs w:val="24"/>
        </w:rPr>
        <w:t>íticos. Un 2</w:t>
      </w:r>
      <w:r w:rsidR="001A1084" w:rsidRPr="00E24789">
        <w:rPr>
          <w:b/>
          <w:i/>
          <w:sz w:val="24"/>
          <w:szCs w:val="24"/>
        </w:rPr>
        <w:t>% de los hechos de corrupción afectaron derechos colectivos y del medio ambiente.</w:t>
      </w:r>
    </w:p>
    <w:p w:rsidR="00DF0C6F" w:rsidRDefault="00BC4EE1" w:rsidP="00E24789">
      <w:pPr>
        <w:spacing w:line="276" w:lineRule="auto"/>
        <w:jc w:val="both"/>
        <w:rPr>
          <w:sz w:val="24"/>
          <w:szCs w:val="24"/>
        </w:rPr>
      </w:pPr>
      <w:r>
        <w:rPr>
          <w:sz w:val="24"/>
          <w:szCs w:val="24"/>
        </w:rPr>
        <w:t xml:space="preserve">Los derechos económicos, sociales y culturales se </w:t>
      </w:r>
      <w:r w:rsidR="003551DF">
        <w:rPr>
          <w:sz w:val="24"/>
          <w:szCs w:val="24"/>
        </w:rPr>
        <w:t>asocian con</w:t>
      </w:r>
      <w:r w:rsidR="006662CB" w:rsidRPr="006662CB">
        <w:rPr>
          <w:sz w:val="24"/>
          <w:szCs w:val="24"/>
        </w:rPr>
        <w:t xml:space="preserve"> el acceso a la educación, a la salud, a la vivienda digna, a</w:t>
      </w:r>
      <w:r>
        <w:rPr>
          <w:sz w:val="24"/>
          <w:szCs w:val="24"/>
        </w:rPr>
        <w:t>l</w:t>
      </w:r>
      <w:r w:rsidR="006662CB" w:rsidRPr="006662CB">
        <w:rPr>
          <w:sz w:val="24"/>
          <w:szCs w:val="24"/>
        </w:rPr>
        <w:t xml:space="preserve"> agua potable y servicios públicos de calidad, al deporte y a la cultura principalmente. </w:t>
      </w:r>
      <w:r w:rsidR="00DF0C6F">
        <w:rPr>
          <w:sz w:val="24"/>
          <w:szCs w:val="24"/>
        </w:rPr>
        <w:t xml:space="preserve">De todos ellos, los más afectados fueron el derecho a la </w:t>
      </w:r>
      <w:r w:rsidR="003551DF">
        <w:rPr>
          <w:sz w:val="24"/>
          <w:szCs w:val="24"/>
        </w:rPr>
        <w:t>e</w:t>
      </w:r>
      <w:r w:rsidR="00DF0C6F">
        <w:rPr>
          <w:sz w:val="24"/>
          <w:szCs w:val="24"/>
        </w:rPr>
        <w:t xml:space="preserve">ducación (28%) y a la </w:t>
      </w:r>
      <w:r w:rsidR="006326BA">
        <w:rPr>
          <w:sz w:val="24"/>
          <w:szCs w:val="24"/>
        </w:rPr>
        <w:t>s</w:t>
      </w:r>
      <w:r w:rsidR="00DF0C6F">
        <w:rPr>
          <w:sz w:val="24"/>
          <w:szCs w:val="24"/>
        </w:rPr>
        <w:t xml:space="preserve">alud (23%). </w:t>
      </w:r>
    </w:p>
    <w:p w:rsidR="00A204E3" w:rsidRDefault="00DF0C6F" w:rsidP="001E510D">
      <w:pPr>
        <w:spacing w:line="276" w:lineRule="auto"/>
        <w:jc w:val="both"/>
        <w:rPr>
          <w:sz w:val="24"/>
          <w:szCs w:val="24"/>
        </w:rPr>
      </w:pPr>
      <w:r>
        <w:rPr>
          <w:sz w:val="24"/>
          <w:szCs w:val="24"/>
        </w:rPr>
        <w:t>En cuanto a los derechos</w:t>
      </w:r>
      <w:r w:rsidR="00BC4EE1">
        <w:rPr>
          <w:sz w:val="24"/>
          <w:szCs w:val="24"/>
        </w:rPr>
        <w:t xml:space="preserve"> fundamentales</w:t>
      </w:r>
      <w:r w:rsidR="006326BA">
        <w:rPr>
          <w:sz w:val="24"/>
          <w:szCs w:val="24"/>
        </w:rPr>
        <w:t>,</w:t>
      </w:r>
      <w:r w:rsidR="00BC4EE1">
        <w:rPr>
          <w:sz w:val="24"/>
          <w:szCs w:val="24"/>
        </w:rPr>
        <w:t xml:space="preserve"> civiles y políticos</w:t>
      </w:r>
      <w:r>
        <w:rPr>
          <w:sz w:val="24"/>
          <w:szCs w:val="24"/>
        </w:rPr>
        <w:t xml:space="preserve">, </w:t>
      </w:r>
      <w:r w:rsidR="00A204E3">
        <w:rPr>
          <w:sz w:val="24"/>
          <w:szCs w:val="24"/>
        </w:rPr>
        <w:t xml:space="preserve">el 39% </w:t>
      </w:r>
      <w:r w:rsidR="006326BA">
        <w:rPr>
          <w:sz w:val="24"/>
          <w:szCs w:val="24"/>
        </w:rPr>
        <w:t xml:space="preserve">de los casos identificados afectaron </w:t>
      </w:r>
      <w:r w:rsidR="000557A7">
        <w:rPr>
          <w:sz w:val="24"/>
          <w:szCs w:val="24"/>
        </w:rPr>
        <w:t xml:space="preserve">el derecho a la vida, a la igualdad, la seguridad, la libertad de expresión, de culto, de acceso a la propiedad privada, de asociación y movilización, de acceso a la justicia y de </w:t>
      </w:r>
      <w:r w:rsidR="000557A7" w:rsidRPr="000557A7">
        <w:rPr>
          <w:sz w:val="24"/>
          <w:szCs w:val="24"/>
        </w:rPr>
        <w:t>derechos de participación en la vida civil y política</w:t>
      </w:r>
      <w:r w:rsidR="000557A7">
        <w:rPr>
          <w:sz w:val="24"/>
          <w:szCs w:val="24"/>
        </w:rPr>
        <w:t xml:space="preserve"> del Estado. </w:t>
      </w:r>
    </w:p>
    <w:p w:rsidR="001020B4" w:rsidRDefault="001020B4" w:rsidP="001020B4">
      <w:pPr>
        <w:spacing w:line="276" w:lineRule="auto"/>
        <w:jc w:val="both"/>
        <w:rPr>
          <w:sz w:val="24"/>
          <w:szCs w:val="24"/>
        </w:rPr>
      </w:pPr>
      <w:r w:rsidRPr="008547AF">
        <w:rPr>
          <w:sz w:val="24"/>
          <w:szCs w:val="24"/>
        </w:rPr>
        <w:t xml:space="preserve">Por último, </w:t>
      </w:r>
      <w:r>
        <w:rPr>
          <w:sz w:val="24"/>
          <w:szCs w:val="24"/>
        </w:rPr>
        <w:t xml:space="preserve">el 2% correspondiente a </w:t>
      </w:r>
      <w:r w:rsidRPr="008547AF">
        <w:rPr>
          <w:sz w:val="24"/>
          <w:szCs w:val="24"/>
        </w:rPr>
        <w:t xml:space="preserve">los derechos colectivos y del medio ambiente, </w:t>
      </w:r>
      <w:r>
        <w:rPr>
          <w:sz w:val="24"/>
          <w:szCs w:val="24"/>
        </w:rPr>
        <w:t xml:space="preserve">se relacionan </w:t>
      </w:r>
      <w:r w:rsidRPr="008547AF">
        <w:rPr>
          <w:sz w:val="24"/>
          <w:szCs w:val="24"/>
        </w:rPr>
        <w:t xml:space="preserve">con los derechos de protección del medio ambiente, el uso adecuado de los recursos naturales y la protección de la integridad ambiental. </w:t>
      </w:r>
    </w:p>
    <w:p w:rsidR="00EA2B6D" w:rsidRDefault="00EA2B6D" w:rsidP="001020B4">
      <w:pPr>
        <w:spacing w:line="276" w:lineRule="auto"/>
        <w:jc w:val="both"/>
        <w:rPr>
          <w:sz w:val="24"/>
          <w:szCs w:val="24"/>
        </w:rPr>
      </w:pPr>
      <w:r w:rsidRPr="00EA2B6D">
        <w:rPr>
          <w:noProof/>
          <w:sz w:val="24"/>
          <w:szCs w:val="24"/>
          <w:lang w:eastAsia="es-CO"/>
        </w:rPr>
        <w:lastRenderedPageBreak/>
        <w:drawing>
          <wp:inline distT="0" distB="0" distL="0" distR="0">
            <wp:extent cx="5610225" cy="2971800"/>
            <wp:effectExtent l="0" t="0" r="0" b="0"/>
            <wp:docPr id="20" name="Gráfico 1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00994F50-F346-479B-B390-699685BED5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A2B6D" w:rsidRPr="00EA2B6D" w:rsidRDefault="00EA2B6D" w:rsidP="00EA2B6D">
      <w:pPr>
        <w:spacing w:line="240" w:lineRule="auto"/>
        <w:jc w:val="center"/>
        <w:rPr>
          <w:sz w:val="20"/>
          <w:szCs w:val="24"/>
        </w:rPr>
      </w:pPr>
      <w:r w:rsidRPr="00666D4D">
        <w:rPr>
          <w:sz w:val="20"/>
          <w:szCs w:val="24"/>
        </w:rPr>
        <w:t xml:space="preserve">Fuente: </w:t>
      </w:r>
      <w:r>
        <w:rPr>
          <w:sz w:val="20"/>
          <w:szCs w:val="24"/>
        </w:rPr>
        <w:t xml:space="preserve">Informe </w:t>
      </w:r>
      <w:r w:rsidRPr="00666D4D">
        <w:rPr>
          <w:sz w:val="20"/>
          <w:szCs w:val="24"/>
        </w:rPr>
        <w:t xml:space="preserve">Monitor Ciudadano </w:t>
      </w:r>
      <w:r>
        <w:rPr>
          <w:sz w:val="20"/>
          <w:szCs w:val="24"/>
        </w:rPr>
        <w:t xml:space="preserve">(2016-2018) </w:t>
      </w:r>
    </w:p>
    <w:p w:rsidR="001020B4" w:rsidRDefault="001020B4" w:rsidP="001020B4">
      <w:pPr>
        <w:spacing w:line="276" w:lineRule="auto"/>
        <w:jc w:val="both"/>
        <w:rPr>
          <w:sz w:val="24"/>
          <w:szCs w:val="24"/>
        </w:rPr>
      </w:pPr>
      <w:r w:rsidRPr="00986DF1">
        <w:rPr>
          <w:sz w:val="24"/>
          <w:szCs w:val="24"/>
        </w:rPr>
        <w:t xml:space="preserve">En ese orden de ideas, es </w:t>
      </w:r>
      <w:r>
        <w:rPr>
          <w:sz w:val="24"/>
          <w:szCs w:val="24"/>
        </w:rPr>
        <w:t xml:space="preserve">importante el </w:t>
      </w:r>
      <w:r w:rsidRPr="00986DF1">
        <w:rPr>
          <w:sz w:val="24"/>
          <w:szCs w:val="24"/>
        </w:rPr>
        <w:t>acercamiento</w:t>
      </w:r>
      <w:r>
        <w:rPr>
          <w:sz w:val="24"/>
          <w:szCs w:val="24"/>
        </w:rPr>
        <w:t xml:space="preserve"> al vínculo existente entre corrupción y derechos humanos.</w:t>
      </w:r>
      <w:r w:rsidRPr="00986DF1">
        <w:rPr>
          <w:sz w:val="24"/>
          <w:szCs w:val="24"/>
        </w:rPr>
        <w:t xml:space="preserve"> </w:t>
      </w:r>
      <w:r>
        <w:rPr>
          <w:sz w:val="24"/>
          <w:szCs w:val="24"/>
        </w:rPr>
        <w:t>Transparencia por Colombia reconoce como una preocupación el impacto cada vez mayor que tiene la corrupción en el goce efectivo de derechos humanos fundamentales y los datos obtenidos en el presente informe así lo demuestran</w:t>
      </w:r>
      <w:r w:rsidR="006326BA">
        <w:rPr>
          <w:sz w:val="24"/>
          <w:szCs w:val="24"/>
        </w:rPr>
        <w:t>:</w:t>
      </w:r>
      <w:r>
        <w:rPr>
          <w:sz w:val="24"/>
          <w:szCs w:val="24"/>
        </w:rPr>
        <w:t xml:space="preserve"> servicios de salud que dejan de prestarse, escuelas públicas que no terminan de construirse, proyectos de vivienda que terminan beneficiando a terceros y particulares, escenarios deportivos que culminan en </w:t>
      </w:r>
      <w:r w:rsidR="006326BA">
        <w:rPr>
          <w:sz w:val="24"/>
          <w:szCs w:val="24"/>
        </w:rPr>
        <w:t>“</w:t>
      </w:r>
      <w:r>
        <w:rPr>
          <w:sz w:val="24"/>
          <w:szCs w:val="24"/>
        </w:rPr>
        <w:t>elefantes blancos</w:t>
      </w:r>
      <w:r w:rsidR="006326BA">
        <w:rPr>
          <w:sz w:val="24"/>
          <w:szCs w:val="24"/>
        </w:rPr>
        <w:t>”, son</w:t>
      </w:r>
      <w:r>
        <w:rPr>
          <w:sz w:val="24"/>
          <w:szCs w:val="24"/>
        </w:rPr>
        <w:t xml:space="preserve"> el reflejo y símbolo evidente de la corrupción y el grado de afectación que </w:t>
      </w:r>
      <w:r w:rsidR="006326BA">
        <w:rPr>
          <w:sz w:val="24"/>
          <w:szCs w:val="24"/>
        </w:rPr>
        <w:t xml:space="preserve">la misma </w:t>
      </w:r>
      <w:r>
        <w:rPr>
          <w:sz w:val="24"/>
          <w:szCs w:val="24"/>
        </w:rPr>
        <w:t xml:space="preserve">genera en la sociedad. A continuación se expone un cuadro que ejemplifica un caso por cada derecho relevante incorporado en la categoría de derechos económicos, sociales y culturales. </w:t>
      </w:r>
    </w:p>
    <w:p w:rsidR="001020B4" w:rsidRDefault="001020B4" w:rsidP="001E510D">
      <w:pPr>
        <w:spacing w:line="276" w:lineRule="auto"/>
        <w:jc w:val="both"/>
        <w:rPr>
          <w:sz w:val="24"/>
          <w:szCs w:val="24"/>
        </w:rPr>
        <w:sectPr w:rsidR="001020B4" w:rsidSect="008D7204">
          <w:headerReference w:type="default" r:id="rId21"/>
          <w:footerReference w:type="default" r:id="rId22"/>
          <w:pgSz w:w="12240" w:h="15840"/>
          <w:pgMar w:top="1417" w:right="1701" w:bottom="1417" w:left="1701" w:header="708" w:footer="708" w:gutter="0"/>
          <w:cols w:space="708"/>
          <w:docGrid w:linePitch="360"/>
        </w:sectPr>
      </w:pPr>
    </w:p>
    <w:p w:rsidR="000D2355" w:rsidRPr="000D2355" w:rsidRDefault="000D2355" w:rsidP="000D2355">
      <w:pPr>
        <w:spacing w:line="276" w:lineRule="auto"/>
        <w:jc w:val="center"/>
        <w:rPr>
          <w:b/>
          <w:sz w:val="24"/>
          <w:szCs w:val="24"/>
        </w:rPr>
      </w:pPr>
      <w:r w:rsidRPr="000D2355">
        <w:rPr>
          <w:b/>
          <w:sz w:val="24"/>
          <w:szCs w:val="24"/>
        </w:rPr>
        <w:lastRenderedPageBreak/>
        <w:t>Tabla # 3</w:t>
      </w:r>
      <w:r>
        <w:rPr>
          <w:b/>
          <w:sz w:val="24"/>
          <w:szCs w:val="24"/>
        </w:rPr>
        <w:t xml:space="preserve"> </w:t>
      </w:r>
      <w:r w:rsidRPr="003C6468">
        <w:rPr>
          <w:b/>
          <w:sz w:val="24"/>
          <w:szCs w:val="24"/>
        </w:rPr>
        <w:t>Casos de ejemplo asociados a afectación de derechos económicos, sociales y culturales</w:t>
      </w:r>
    </w:p>
    <w:tbl>
      <w:tblPr>
        <w:tblStyle w:val="Tablaconcuadrcula"/>
        <w:tblW w:w="16160" w:type="dxa"/>
        <w:tblInd w:w="-459" w:type="dxa"/>
        <w:tblLook w:val="04A0"/>
      </w:tblPr>
      <w:tblGrid>
        <w:gridCol w:w="3969"/>
        <w:gridCol w:w="3544"/>
        <w:gridCol w:w="3827"/>
        <w:gridCol w:w="4820"/>
      </w:tblGrid>
      <w:tr w:rsidR="00363367" w:rsidRPr="00363367" w:rsidTr="008171EB">
        <w:trPr>
          <w:trHeight w:val="450"/>
        </w:trPr>
        <w:tc>
          <w:tcPr>
            <w:tcW w:w="16160" w:type="dxa"/>
            <w:gridSpan w:val="4"/>
          </w:tcPr>
          <w:p w:rsidR="00363367" w:rsidRPr="00363367" w:rsidRDefault="00363367" w:rsidP="00363367">
            <w:pPr>
              <w:spacing w:line="240" w:lineRule="auto"/>
              <w:jc w:val="center"/>
              <w:rPr>
                <w:b/>
                <w:sz w:val="20"/>
                <w:szCs w:val="24"/>
              </w:rPr>
            </w:pPr>
            <w:r w:rsidRPr="00363367">
              <w:rPr>
                <w:b/>
                <w:sz w:val="20"/>
                <w:szCs w:val="24"/>
              </w:rPr>
              <w:t xml:space="preserve">Casos recopilados por el Monitor Ciudadano </w:t>
            </w:r>
          </w:p>
        </w:tc>
      </w:tr>
      <w:tr w:rsidR="0032179F" w:rsidRPr="00363367" w:rsidTr="0032179F">
        <w:trPr>
          <w:trHeight w:val="450"/>
        </w:trPr>
        <w:tc>
          <w:tcPr>
            <w:tcW w:w="3969" w:type="dxa"/>
          </w:tcPr>
          <w:p w:rsidR="0032179F" w:rsidRPr="00363367" w:rsidRDefault="0032179F" w:rsidP="00363367">
            <w:pPr>
              <w:spacing w:line="240" w:lineRule="auto"/>
              <w:jc w:val="center"/>
              <w:rPr>
                <w:b/>
                <w:sz w:val="20"/>
                <w:szCs w:val="24"/>
              </w:rPr>
            </w:pPr>
            <w:r>
              <w:rPr>
                <w:b/>
                <w:sz w:val="20"/>
                <w:szCs w:val="24"/>
              </w:rPr>
              <w:t xml:space="preserve">Derecho a la Educación </w:t>
            </w:r>
          </w:p>
        </w:tc>
        <w:tc>
          <w:tcPr>
            <w:tcW w:w="3544" w:type="dxa"/>
          </w:tcPr>
          <w:p w:rsidR="0032179F" w:rsidRPr="00363367" w:rsidRDefault="0032179F" w:rsidP="00363367">
            <w:pPr>
              <w:spacing w:line="240" w:lineRule="auto"/>
              <w:jc w:val="center"/>
              <w:rPr>
                <w:b/>
                <w:sz w:val="20"/>
                <w:szCs w:val="24"/>
              </w:rPr>
            </w:pPr>
            <w:r>
              <w:rPr>
                <w:b/>
                <w:sz w:val="20"/>
                <w:szCs w:val="24"/>
              </w:rPr>
              <w:t xml:space="preserve">Derecho a la Salud </w:t>
            </w:r>
          </w:p>
        </w:tc>
        <w:tc>
          <w:tcPr>
            <w:tcW w:w="3827" w:type="dxa"/>
          </w:tcPr>
          <w:p w:rsidR="0032179F" w:rsidRPr="00363367" w:rsidRDefault="0032179F" w:rsidP="00363367">
            <w:pPr>
              <w:spacing w:line="240" w:lineRule="auto"/>
              <w:jc w:val="center"/>
              <w:rPr>
                <w:b/>
                <w:sz w:val="20"/>
                <w:szCs w:val="24"/>
              </w:rPr>
            </w:pPr>
            <w:r>
              <w:rPr>
                <w:b/>
                <w:sz w:val="20"/>
                <w:szCs w:val="24"/>
              </w:rPr>
              <w:t xml:space="preserve">Derecho al Deporte y a la Cultura </w:t>
            </w:r>
          </w:p>
        </w:tc>
        <w:tc>
          <w:tcPr>
            <w:tcW w:w="4820" w:type="dxa"/>
          </w:tcPr>
          <w:p w:rsidR="0032179F" w:rsidRPr="00363367" w:rsidRDefault="0032179F" w:rsidP="00363367">
            <w:pPr>
              <w:spacing w:line="240" w:lineRule="auto"/>
              <w:jc w:val="center"/>
              <w:rPr>
                <w:b/>
                <w:sz w:val="20"/>
                <w:szCs w:val="24"/>
              </w:rPr>
            </w:pPr>
            <w:r>
              <w:rPr>
                <w:b/>
                <w:sz w:val="20"/>
                <w:szCs w:val="24"/>
              </w:rPr>
              <w:t xml:space="preserve">Derecho a vivienda digna </w:t>
            </w:r>
          </w:p>
        </w:tc>
      </w:tr>
      <w:tr w:rsidR="00363367" w:rsidRPr="00363367" w:rsidTr="0093412C">
        <w:trPr>
          <w:trHeight w:val="436"/>
        </w:trPr>
        <w:tc>
          <w:tcPr>
            <w:tcW w:w="3969" w:type="dxa"/>
          </w:tcPr>
          <w:p w:rsidR="00363367" w:rsidRPr="00363367" w:rsidRDefault="00363367" w:rsidP="00363367">
            <w:pPr>
              <w:spacing w:line="240" w:lineRule="auto"/>
              <w:jc w:val="center"/>
              <w:rPr>
                <w:i/>
                <w:sz w:val="20"/>
                <w:szCs w:val="24"/>
              </w:rPr>
            </w:pPr>
          </w:p>
          <w:p w:rsidR="00363367" w:rsidRPr="0093412C" w:rsidRDefault="00363367" w:rsidP="0093412C">
            <w:pPr>
              <w:numPr>
                <w:ilvl w:val="0"/>
                <w:numId w:val="14"/>
              </w:numPr>
              <w:spacing w:line="240" w:lineRule="auto"/>
              <w:jc w:val="both"/>
              <w:rPr>
                <w:sz w:val="20"/>
                <w:szCs w:val="24"/>
              </w:rPr>
            </w:pPr>
            <w:r w:rsidRPr="00363367">
              <w:rPr>
                <w:sz w:val="20"/>
                <w:szCs w:val="24"/>
              </w:rPr>
              <w:t xml:space="preserve">En </w:t>
            </w:r>
            <w:r w:rsidR="00AB1E7A" w:rsidRPr="00363367">
              <w:rPr>
                <w:sz w:val="20"/>
                <w:szCs w:val="24"/>
              </w:rPr>
              <w:t>el 2009</w:t>
            </w:r>
            <w:r w:rsidRPr="00363367">
              <w:rPr>
                <w:sz w:val="20"/>
                <w:szCs w:val="24"/>
              </w:rPr>
              <w:t xml:space="preserve">, la Gobernación de La </w:t>
            </w:r>
            <w:r w:rsidR="00AB1E7A" w:rsidRPr="00363367">
              <w:rPr>
                <w:sz w:val="20"/>
                <w:szCs w:val="24"/>
              </w:rPr>
              <w:t>Guajira suscribió</w:t>
            </w:r>
            <w:r w:rsidRPr="00363367">
              <w:rPr>
                <w:sz w:val="20"/>
                <w:szCs w:val="24"/>
              </w:rPr>
              <w:t xml:space="preserve"> un contrato con el objeto de construir y mejorar la infraestructura de 42 </w:t>
            </w:r>
            <w:r w:rsidR="0093412C" w:rsidRPr="00363367">
              <w:rPr>
                <w:sz w:val="20"/>
                <w:szCs w:val="24"/>
              </w:rPr>
              <w:t>megacolegios,</w:t>
            </w:r>
            <w:r w:rsidR="00AB1E7A">
              <w:rPr>
                <w:sz w:val="20"/>
                <w:szCs w:val="24"/>
              </w:rPr>
              <w:t xml:space="preserve"> pero al </w:t>
            </w:r>
            <w:r w:rsidR="0093412C">
              <w:rPr>
                <w:sz w:val="20"/>
                <w:szCs w:val="24"/>
              </w:rPr>
              <w:t xml:space="preserve">final </w:t>
            </w:r>
            <w:r w:rsidR="0093412C" w:rsidRPr="00363367">
              <w:rPr>
                <w:sz w:val="20"/>
                <w:szCs w:val="24"/>
              </w:rPr>
              <w:t>nunca</w:t>
            </w:r>
            <w:r w:rsidRPr="00363367">
              <w:rPr>
                <w:sz w:val="20"/>
                <w:szCs w:val="24"/>
              </w:rPr>
              <w:t xml:space="preserve"> fueron entregados.</w:t>
            </w:r>
          </w:p>
          <w:p w:rsidR="00363367" w:rsidRPr="00AB1E7A" w:rsidRDefault="00363367" w:rsidP="00AB1E7A">
            <w:pPr>
              <w:numPr>
                <w:ilvl w:val="0"/>
                <w:numId w:val="14"/>
              </w:numPr>
              <w:spacing w:line="240" w:lineRule="auto"/>
              <w:jc w:val="both"/>
              <w:rPr>
                <w:sz w:val="20"/>
                <w:szCs w:val="24"/>
              </w:rPr>
            </w:pPr>
            <w:r w:rsidRPr="00363367">
              <w:rPr>
                <w:sz w:val="20"/>
                <w:szCs w:val="24"/>
              </w:rPr>
              <w:t xml:space="preserve">Por falsificación de documentos y apropiación de recursos, funcionarios de la Gobernación de Casanare se </w:t>
            </w:r>
            <w:r w:rsidR="00AB1E7A" w:rsidRPr="00363367">
              <w:rPr>
                <w:sz w:val="20"/>
                <w:szCs w:val="24"/>
              </w:rPr>
              <w:t>vieron involucrados</w:t>
            </w:r>
            <w:r w:rsidR="00AB1E7A">
              <w:rPr>
                <w:sz w:val="20"/>
                <w:szCs w:val="24"/>
              </w:rPr>
              <w:t xml:space="preserve"> en </w:t>
            </w:r>
            <w:r w:rsidRPr="00363367">
              <w:rPr>
                <w:sz w:val="20"/>
                <w:szCs w:val="24"/>
              </w:rPr>
              <w:t>irregularidades en contrato de Megacolegio</w:t>
            </w:r>
            <w:r w:rsidR="00AB1E7A">
              <w:rPr>
                <w:sz w:val="20"/>
                <w:szCs w:val="24"/>
              </w:rPr>
              <w:t>s</w:t>
            </w:r>
            <w:r w:rsidRPr="00363367">
              <w:rPr>
                <w:sz w:val="20"/>
                <w:szCs w:val="24"/>
              </w:rPr>
              <w:t xml:space="preserve"> en </w:t>
            </w:r>
            <w:r w:rsidR="00AB1E7A">
              <w:rPr>
                <w:sz w:val="20"/>
                <w:szCs w:val="24"/>
              </w:rPr>
              <w:t xml:space="preserve">el municipio de </w:t>
            </w:r>
            <w:r w:rsidRPr="00363367">
              <w:rPr>
                <w:sz w:val="20"/>
                <w:szCs w:val="24"/>
              </w:rPr>
              <w:t xml:space="preserve">Paz de </w:t>
            </w:r>
            <w:proofErr w:type="spellStart"/>
            <w:r w:rsidRPr="00363367">
              <w:rPr>
                <w:sz w:val="20"/>
                <w:szCs w:val="24"/>
              </w:rPr>
              <w:t>Ariporo</w:t>
            </w:r>
            <w:proofErr w:type="spellEnd"/>
            <w:r w:rsidRPr="00363367">
              <w:rPr>
                <w:sz w:val="20"/>
                <w:szCs w:val="24"/>
              </w:rPr>
              <w:t>.</w:t>
            </w:r>
          </w:p>
          <w:p w:rsidR="00363367" w:rsidRPr="00363367" w:rsidRDefault="00363367" w:rsidP="0093412C">
            <w:pPr>
              <w:pStyle w:val="Sinespaciado"/>
              <w:jc w:val="center"/>
            </w:pPr>
            <w:r w:rsidRPr="00363367">
              <w:t>¿Quiere conocer más de este caso?</w:t>
            </w:r>
          </w:p>
          <w:p w:rsidR="00363367" w:rsidRPr="00363367" w:rsidRDefault="00363367" w:rsidP="0093412C">
            <w:pPr>
              <w:pStyle w:val="Sinespaciado"/>
              <w:jc w:val="center"/>
            </w:pPr>
            <w:r w:rsidRPr="00363367">
              <w:t>Visita Monitor Ciudadano</w:t>
            </w:r>
          </w:p>
          <w:p w:rsidR="00363367" w:rsidRPr="00363367" w:rsidRDefault="00A5193B" w:rsidP="0093412C">
            <w:pPr>
              <w:pStyle w:val="Sinespaciado"/>
              <w:jc w:val="center"/>
            </w:pPr>
            <w:hyperlink r:id="rId23" w:history="1">
              <w:r w:rsidR="00363367" w:rsidRPr="00363367">
                <w:rPr>
                  <w:rStyle w:val="Hipervnculo"/>
                  <w:sz w:val="20"/>
                  <w:szCs w:val="24"/>
                </w:rPr>
                <w:t>Click Aquí</w:t>
              </w:r>
            </w:hyperlink>
          </w:p>
          <w:p w:rsidR="00363367" w:rsidRPr="00363367" w:rsidRDefault="00363367" w:rsidP="00363367">
            <w:pPr>
              <w:spacing w:line="240" w:lineRule="auto"/>
              <w:jc w:val="center"/>
              <w:rPr>
                <w:sz w:val="20"/>
                <w:szCs w:val="24"/>
              </w:rPr>
            </w:pPr>
          </w:p>
        </w:tc>
        <w:tc>
          <w:tcPr>
            <w:tcW w:w="3544" w:type="dxa"/>
          </w:tcPr>
          <w:p w:rsidR="00363367" w:rsidRPr="00363367" w:rsidRDefault="00363367" w:rsidP="00363367">
            <w:pPr>
              <w:spacing w:line="240" w:lineRule="auto"/>
              <w:jc w:val="center"/>
              <w:rPr>
                <w:sz w:val="20"/>
                <w:szCs w:val="24"/>
              </w:rPr>
            </w:pPr>
          </w:p>
          <w:p w:rsidR="00363367" w:rsidRPr="0093412C" w:rsidRDefault="00363367" w:rsidP="0093412C">
            <w:pPr>
              <w:numPr>
                <w:ilvl w:val="0"/>
                <w:numId w:val="14"/>
              </w:numPr>
              <w:spacing w:line="240" w:lineRule="auto"/>
              <w:jc w:val="both"/>
              <w:rPr>
                <w:sz w:val="20"/>
                <w:szCs w:val="24"/>
              </w:rPr>
            </w:pPr>
            <w:r w:rsidRPr="00363367">
              <w:rPr>
                <w:sz w:val="20"/>
                <w:szCs w:val="24"/>
              </w:rPr>
              <w:t xml:space="preserve">Por viajes familiares y gastos fuera de lugar la </w:t>
            </w:r>
            <w:r w:rsidRPr="00363367">
              <w:rPr>
                <w:b/>
                <w:i/>
                <w:sz w:val="20"/>
                <w:szCs w:val="24"/>
              </w:rPr>
              <w:t>EPS Saludcoop</w:t>
            </w:r>
            <w:r w:rsidRPr="00363367">
              <w:rPr>
                <w:sz w:val="20"/>
                <w:szCs w:val="24"/>
              </w:rPr>
              <w:t xml:space="preserve"> </w:t>
            </w:r>
            <w:r w:rsidR="00AB1E7A">
              <w:rPr>
                <w:sz w:val="20"/>
                <w:szCs w:val="24"/>
              </w:rPr>
              <w:t>, una de las más grandes del país fue liquidada en 2016 por desviar</w:t>
            </w:r>
            <w:r w:rsidR="00AB1E7A" w:rsidRPr="00AB1E7A">
              <w:rPr>
                <w:sz w:val="20"/>
                <w:szCs w:val="24"/>
              </w:rPr>
              <w:t xml:space="preserve"> recursos de la salud para otros propósitos</w:t>
            </w:r>
            <w:r w:rsidR="00AB1E7A">
              <w:rPr>
                <w:sz w:val="20"/>
                <w:szCs w:val="24"/>
              </w:rPr>
              <w:t xml:space="preserve">. Esto afectó miles de afiliados por fallas en el servicio de salud. </w:t>
            </w:r>
          </w:p>
          <w:p w:rsidR="00363367" w:rsidRPr="00AB1E7A" w:rsidRDefault="00363367" w:rsidP="00363367">
            <w:pPr>
              <w:numPr>
                <w:ilvl w:val="0"/>
                <w:numId w:val="14"/>
              </w:numPr>
              <w:spacing w:line="240" w:lineRule="auto"/>
              <w:jc w:val="both"/>
              <w:rPr>
                <w:sz w:val="20"/>
                <w:szCs w:val="24"/>
              </w:rPr>
            </w:pPr>
            <w:r w:rsidRPr="00363367">
              <w:rPr>
                <w:sz w:val="20"/>
                <w:szCs w:val="24"/>
              </w:rPr>
              <w:t xml:space="preserve">En 2018 fueron capturados </w:t>
            </w:r>
            <w:r w:rsidR="00AB1E7A">
              <w:rPr>
                <w:sz w:val="20"/>
                <w:szCs w:val="24"/>
              </w:rPr>
              <w:t xml:space="preserve">los </w:t>
            </w:r>
            <w:r w:rsidRPr="00363367">
              <w:rPr>
                <w:sz w:val="20"/>
                <w:szCs w:val="24"/>
              </w:rPr>
              <w:t xml:space="preserve">miembros de </w:t>
            </w:r>
            <w:r w:rsidR="00AB1E7A">
              <w:rPr>
                <w:sz w:val="20"/>
                <w:szCs w:val="24"/>
              </w:rPr>
              <w:t xml:space="preserve">una </w:t>
            </w:r>
            <w:r w:rsidRPr="00363367">
              <w:rPr>
                <w:sz w:val="20"/>
                <w:szCs w:val="24"/>
              </w:rPr>
              <w:t>red que a través de órdenes falsas logró defraudar a la Nueva EPS en Barranquilla desde 2015.</w:t>
            </w:r>
          </w:p>
          <w:p w:rsidR="00363367" w:rsidRPr="0093412C" w:rsidRDefault="00363367" w:rsidP="0093412C">
            <w:pPr>
              <w:pStyle w:val="Sinespaciado"/>
              <w:jc w:val="center"/>
            </w:pPr>
            <w:r w:rsidRPr="0093412C">
              <w:t>¿Quiere conocer más de este caso?</w:t>
            </w:r>
          </w:p>
          <w:p w:rsidR="00363367" w:rsidRPr="0093412C" w:rsidRDefault="00363367" w:rsidP="0093412C">
            <w:pPr>
              <w:pStyle w:val="Sinespaciado"/>
              <w:jc w:val="center"/>
            </w:pPr>
            <w:r w:rsidRPr="0093412C">
              <w:t>Visita Monitor Ciudadano</w:t>
            </w:r>
          </w:p>
          <w:p w:rsidR="00363367" w:rsidRPr="0032179F" w:rsidRDefault="00A5193B" w:rsidP="0093412C">
            <w:pPr>
              <w:pStyle w:val="Sinespaciado"/>
              <w:jc w:val="center"/>
              <w:rPr>
                <w:sz w:val="20"/>
                <w:szCs w:val="24"/>
                <w:u w:val="single"/>
              </w:rPr>
            </w:pPr>
            <w:hyperlink r:id="rId24" w:history="1">
              <w:r w:rsidR="00AB1E7A" w:rsidRPr="0032179F">
                <w:rPr>
                  <w:u w:val="single"/>
                </w:rPr>
                <w:t>Click Aquí</w:t>
              </w:r>
            </w:hyperlink>
          </w:p>
        </w:tc>
        <w:tc>
          <w:tcPr>
            <w:tcW w:w="3827" w:type="dxa"/>
          </w:tcPr>
          <w:p w:rsidR="00363367" w:rsidRPr="00363367" w:rsidRDefault="00363367" w:rsidP="00363367">
            <w:pPr>
              <w:spacing w:line="240" w:lineRule="auto"/>
              <w:jc w:val="center"/>
              <w:rPr>
                <w:sz w:val="20"/>
                <w:szCs w:val="24"/>
              </w:rPr>
            </w:pPr>
          </w:p>
          <w:p w:rsidR="00363367" w:rsidRPr="00AB1E7A" w:rsidRDefault="00363367" w:rsidP="00AB1E7A">
            <w:pPr>
              <w:numPr>
                <w:ilvl w:val="0"/>
                <w:numId w:val="15"/>
              </w:numPr>
              <w:spacing w:line="240" w:lineRule="auto"/>
              <w:jc w:val="both"/>
              <w:rPr>
                <w:sz w:val="20"/>
                <w:szCs w:val="24"/>
              </w:rPr>
            </w:pPr>
            <w:r w:rsidRPr="00363367">
              <w:rPr>
                <w:sz w:val="20"/>
                <w:szCs w:val="24"/>
              </w:rPr>
              <w:t>En 2015, desde la alcaldía de Ibagué se firmó un para la construcción de una Unidad Deportiva para los Juegos Nacionales. A 2017, las obras aún estaban inconclusas</w:t>
            </w:r>
            <w:r w:rsidR="00AB1E7A">
              <w:rPr>
                <w:sz w:val="20"/>
                <w:szCs w:val="24"/>
              </w:rPr>
              <w:t xml:space="preserve"> y no pudieron celebrarse los juegos. </w:t>
            </w:r>
          </w:p>
          <w:p w:rsidR="00AB1E7A" w:rsidRPr="008171EB" w:rsidRDefault="00AB1E7A" w:rsidP="00AB1E7A">
            <w:pPr>
              <w:numPr>
                <w:ilvl w:val="0"/>
                <w:numId w:val="15"/>
              </w:numPr>
              <w:spacing w:line="240" w:lineRule="auto"/>
              <w:jc w:val="both"/>
              <w:rPr>
                <w:sz w:val="20"/>
                <w:szCs w:val="24"/>
              </w:rPr>
            </w:pPr>
            <w:r>
              <w:rPr>
                <w:sz w:val="20"/>
                <w:szCs w:val="24"/>
              </w:rPr>
              <w:t>En Santander, fue s</w:t>
            </w:r>
            <w:r w:rsidR="00363367" w:rsidRPr="00363367">
              <w:rPr>
                <w:sz w:val="20"/>
                <w:szCs w:val="24"/>
              </w:rPr>
              <w:t xml:space="preserve">ancionado </w:t>
            </w:r>
            <w:r>
              <w:rPr>
                <w:sz w:val="20"/>
                <w:szCs w:val="24"/>
              </w:rPr>
              <w:t xml:space="preserve">el </w:t>
            </w:r>
            <w:r w:rsidR="00363367" w:rsidRPr="00363367">
              <w:rPr>
                <w:sz w:val="20"/>
                <w:szCs w:val="24"/>
              </w:rPr>
              <w:t>director de INDER Santander por irregularidades en contratos de los juegos nacionales de Mar y Playa de 2015.</w:t>
            </w:r>
            <w:r>
              <w:rPr>
                <w:sz w:val="20"/>
                <w:szCs w:val="24"/>
              </w:rPr>
              <w:t xml:space="preserve"> El funcionario permitió la </w:t>
            </w:r>
            <w:r w:rsidRPr="00AB1E7A">
              <w:rPr>
                <w:sz w:val="20"/>
                <w:szCs w:val="24"/>
              </w:rPr>
              <w:t>inscripción de "competidores fantasma” a los cuales se le</w:t>
            </w:r>
            <w:r>
              <w:rPr>
                <w:sz w:val="20"/>
                <w:szCs w:val="24"/>
              </w:rPr>
              <w:t xml:space="preserve">s pagó un cupo completo pero </w:t>
            </w:r>
            <w:r w:rsidRPr="00AB1E7A">
              <w:rPr>
                <w:sz w:val="20"/>
                <w:szCs w:val="24"/>
              </w:rPr>
              <w:t>jamás viajaron a las competencias</w:t>
            </w:r>
            <w:r>
              <w:rPr>
                <w:sz w:val="20"/>
                <w:szCs w:val="24"/>
              </w:rPr>
              <w:t xml:space="preserve">. </w:t>
            </w:r>
          </w:p>
          <w:p w:rsidR="00363367" w:rsidRPr="0093412C" w:rsidRDefault="00363367" w:rsidP="0093412C">
            <w:pPr>
              <w:pStyle w:val="Sinespaciado"/>
              <w:jc w:val="center"/>
            </w:pPr>
            <w:r w:rsidRPr="0093412C">
              <w:t>¿Quiere conocer más de este caso?</w:t>
            </w:r>
          </w:p>
          <w:p w:rsidR="00363367" w:rsidRPr="0093412C" w:rsidRDefault="00363367" w:rsidP="0093412C">
            <w:pPr>
              <w:pStyle w:val="Sinespaciado"/>
              <w:jc w:val="center"/>
            </w:pPr>
            <w:r w:rsidRPr="0093412C">
              <w:t>Visita Monitor Ciudadano</w:t>
            </w:r>
          </w:p>
          <w:p w:rsidR="00363367" w:rsidRPr="0032179F" w:rsidRDefault="00A5193B" w:rsidP="0093412C">
            <w:pPr>
              <w:pStyle w:val="Sinespaciado"/>
              <w:jc w:val="center"/>
              <w:rPr>
                <w:u w:val="single"/>
              </w:rPr>
            </w:pPr>
            <w:hyperlink r:id="rId25" w:history="1">
              <w:r w:rsidR="00363367" w:rsidRPr="0032179F">
                <w:rPr>
                  <w:u w:val="single"/>
                </w:rPr>
                <w:t>Click Aquí</w:t>
              </w:r>
            </w:hyperlink>
          </w:p>
          <w:p w:rsidR="00363367" w:rsidRPr="00363367" w:rsidRDefault="00363367" w:rsidP="00363367">
            <w:pPr>
              <w:spacing w:line="240" w:lineRule="auto"/>
              <w:jc w:val="center"/>
              <w:rPr>
                <w:sz w:val="20"/>
                <w:szCs w:val="24"/>
              </w:rPr>
            </w:pPr>
          </w:p>
        </w:tc>
        <w:tc>
          <w:tcPr>
            <w:tcW w:w="4820" w:type="dxa"/>
          </w:tcPr>
          <w:p w:rsidR="00363367" w:rsidRPr="00363367" w:rsidRDefault="00363367" w:rsidP="00363367">
            <w:pPr>
              <w:spacing w:line="240" w:lineRule="auto"/>
              <w:jc w:val="center"/>
              <w:rPr>
                <w:sz w:val="20"/>
                <w:szCs w:val="24"/>
              </w:rPr>
            </w:pPr>
          </w:p>
          <w:p w:rsidR="00363367" w:rsidRDefault="00363367" w:rsidP="00AB1E7A">
            <w:pPr>
              <w:numPr>
                <w:ilvl w:val="0"/>
                <w:numId w:val="16"/>
              </w:numPr>
              <w:spacing w:line="240" w:lineRule="auto"/>
              <w:jc w:val="both"/>
              <w:rPr>
                <w:sz w:val="20"/>
                <w:szCs w:val="24"/>
              </w:rPr>
            </w:pPr>
            <w:r w:rsidRPr="00363367">
              <w:rPr>
                <w:sz w:val="20"/>
                <w:szCs w:val="24"/>
              </w:rPr>
              <w:t xml:space="preserve">Entre 2008 y 2009, </w:t>
            </w:r>
            <w:r w:rsidR="00030A4A">
              <w:rPr>
                <w:sz w:val="20"/>
                <w:szCs w:val="24"/>
              </w:rPr>
              <w:t xml:space="preserve">en el municipio de Mariquita –Tolima </w:t>
            </w:r>
            <w:r w:rsidRPr="00363367">
              <w:rPr>
                <w:sz w:val="20"/>
                <w:szCs w:val="24"/>
              </w:rPr>
              <w:t xml:space="preserve">se presentaron irregularidades con la venta de lotes para construcción de viviendas de interés social. Los ciudadanos entregaron su dinero, pero nunca les </w:t>
            </w:r>
            <w:r w:rsidR="00030A4A" w:rsidRPr="00363367">
              <w:rPr>
                <w:sz w:val="20"/>
                <w:szCs w:val="24"/>
              </w:rPr>
              <w:t>entregaron las</w:t>
            </w:r>
            <w:r w:rsidRPr="00363367">
              <w:rPr>
                <w:sz w:val="20"/>
                <w:szCs w:val="24"/>
              </w:rPr>
              <w:t xml:space="preserve"> escrituras y sus lotes habían sido revendidos.</w:t>
            </w:r>
          </w:p>
          <w:p w:rsidR="00363367" w:rsidRPr="0093412C" w:rsidRDefault="0093412C" w:rsidP="0093412C">
            <w:pPr>
              <w:numPr>
                <w:ilvl w:val="0"/>
                <w:numId w:val="16"/>
              </w:numPr>
              <w:spacing w:line="240" w:lineRule="auto"/>
              <w:jc w:val="both"/>
              <w:rPr>
                <w:sz w:val="20"/>
                <w:szCs w:val="24"/>
              </w:rPr>
            </w:pPr>
            <w:r w:rsidRPr="0093412C">
              <w:rPr>
                <w:sz w:val="20"/>
                <w:szCs w:val="24"/>
              </w:rPr>
              <w:t xml:space="preserve">En </w:t>
            </w:r>
            <w:r>
              <w:rPr>
                <w:sz w:val="20"/>
                <w:szCs w:val="24"/>
              </w:rPr>
              <w:t xml:space="preserve">2009 se firmó un convenio en </w:t>
            </w:r>
            <w:r w:rsidRPr="0093412C">
              <w:rPr>
                <w:sz w:val="20"/>
                <w:szCs w:val="24"/>
              </w:rPr>
              <w:t>el municipio de El Calvario (Meta) con el objetivo de ejecutar un proyecto de construcción de vivienda que beneficiaría a 200 familias afectadas por la ola invernal</w:t>
            </w:r>
            <w:r>
              <w:rPr>
                <w:sz w:val="20"/>
                <w:szCs w:val="24"/>
              </w:rPr>
              <w:t xml:space="preserve"> de ese año. </w:t>
            </w:r>
            <w:r w:rsidRPr="0093412C">
              <w:rPr>
                <w:sz w:val="20"/>
                <w:szCs w:val="24"/>
              </w:rPr>
              <w:t>Según un informe de la Contraloría General de l</w:t>
            </w:r>
            <w:r>
              <w:rPr>
                <w:sz w:val="20"/>
                <w:szCs w:val="24"/>
              </w:rPr>
              <w:t>a República</w:t>
            </w:r>
            <w:r w:rsidRPr="0093412C">
              <w:rPr>
                <w:sz w:val="20"/>
                <w:szCs w:val="24"/>
              </w:rPr>
              <w:t xml:space="preserve"> no todas las viviendas se construyeron ni cumplían con el reglamento colombiano de construcción y sismo resistencia.</w:t>
            </w:r>
          </w:p>
          <w:p w:rsidR="00363367" w:rsidRPr="0093412C" w:rsidRDefault="00363367" w:rsidP="0093412C">
            <w:pPr>
              <w:pStyle w:val="Sinespaciado"/>
              <w:jc w:val="center"/>
            </w:pPr>
            <w:r w:rsidRPr="0093412C">
              <w:t>¿Quiere conocer más de este caso?</w:t>
            </w:r>
          </w:p>
          <w:p w:rsidR="00363367" w:rsidRPr="0093412C" w:rsidRDefault="00363367" w:rsidP="0093412C">
            <w:pPr>
              <w:pStyle w:val="Sinespaciado"/>
              <w:jc w:val="center"/>
            </w:pPr>
            <w:r w:rsidRPr="0093412C">
              <w:t>Visita Monitor Ciudadano</w:t>
            </w:r>
          </w:p>
          <w:p w:rsidR="00363367" w:rsidRPr="0032179F" w:rsidRDefault="00A5193B" w:rsidP="0093412C">
            <w:pPr>
              <w:pStyle w:val="Sinespaciado"/>
              <w:jc w:val="center"/>
              <w:rPr>
                <w:u w:val="single"/>
              </w:rPr>
            </w:pPr>
            <w:hyperlink r:id="rId26" w:history="1">
              <w:r w:rsidR="00363367" w:rsidRPr="0032179F">
                <w:rPr>
                  <w:u w:val="single"/>
                </w:rPr>
                <w:t>Click Aquí</w:t>
              </w:r>
            </w:hyperlink>
          </w:p>
          <w:p w:rsidR="00363367" w:rsidRPr="00363367" w:rsidRDefault="00363367" w:rsidP="00363367">
            <w:pPr>
              <w:spacing w:line="240" w:lineRule="auto"/>
              <w:jc w:val="center"/>
              <w:rPr>
                <w:sz w:val="20"/>
                <w:szCs w:val="24"/>
              </w:rPr>
            </w:pPr>
          </w:p>
        </w:tc>
      </w:tr>
    </w:tbl>
    <w:p w:rsidR="000D2355" w:rsidRPr="00516ED2" w:rsidRDefault="003C6468" w:rsidP="00F1521D">
      <w:pPr>
        <w:spacing w:line="240" w:lineRule="auto"/>
        <w:jc w:val="center"/>
        <w:rPr>
          <w:sz w:val="20"/>
          <w:szCs w:val="24"/>
        </w:rPr>
        <w:sectPr w:rsidR="000D2355" w:rsidRPr="00516ED2" w:rsidSect="000D2355">
          <w:pgSz w:w="15840" w:h="12240" w:orient="landscape"/>
          <w:pgMar w:top="1701" w:right="1418" w:bottom="1701" w:left="1418" w:header="709" w:footer="709" w:gutter="0"/>
          <w:cols w:space="708"/>
          <w:docGrid w:linePitch="360"/>
        </w:sectPr>
      </w:pPr>
      <w:r w:rsidRPr="00666D4D">
        <w:rPr>
          <w:sz w:val="20"/>
          <w:szCs w:val="24"/>
        </w:rPr>
        <w:t xml:space="preserve">Fuente: </w:t>
      </w:r>
      <w:r>
        <w:rPr>
          <w:sz w:val="20"/>
          <w:szCs w:val="24"/>
        </w:rPr>
        <w:t xml:space="preserve">Informe </w:t>
      </w:r>
      <w:r w:rsidRPr="00666D4D">
        <w:rPr>
          <w:sz w:val="20"/>
          <w:szCs w:val="24"/>
        </w:rPr>
        <w:t xml:space="preserve">Monitor Ciudadano </w:t>
      </w:r>
      <w:r w:rsidR="00516ED2">
        <w:rPr>
          <w:sz w:val="20"/>
          <w:szCs w:val="24"/>
        </w:rPr>
        <w:t>(2016-2018)</w:t>
      </w:r>
    </w:p>
    <w:p w:rsidR="001020B4" w:rsidRDefault="001020B4" w:rsidP="00A204E3">
      <w:pPr>
        <w:spacing w:line="276" w:lineRule="auto"/>
        <w:jc w:val="both"/>
        <w:rPr>
          <w:rFonts w:asciiTheme="majorHAnsi" w:eastAsiaTheme="majorEastAsia" w:hAnsiTheme="majorHAnsi" w:cstheme="majorBidi"/>
          <w:b/>
          <w:color w:val="000000" w:themeColor="text1"/>
          <w:sz w:val="28"/>
          <w:szCs w:val="36"/>
        </w:rPr>
      </w:pPr>
    </w:p>
    <w:bookmarkEnd w:id="31"/>
    <w:bookmarkEnd w:id="32"/>
    <w:p w:rsidR="00E37834" w:rsidRPr="008171EB" w:rsidRDefault="003C2F62" w:rsidP="00E37834">
      <w:pPr>
        <w:pStyle w:val="Prrafodelista"/>
        <w:numPr>
          <w:ilvl w:val="0"/>
          <w:numId w:val="11"/>
        </w:numPr>
        <w:spacing w:line="276" w:lineRule="auto"/>
        <w:jc w:val="both"/>
        <w:rPr>
          <w:rFonts w:asciiTheme="majorHAnsi" w:eastAsiaTheme="majorEastAsia" w:hAnsiTheme="majorHAnsi" w:cstheme="majorBidi"/>
          <w:b/>
          <w:color w:val="000000" w:themeColor="text1"/>
          <w:sz w:val="28"/>
          <w:szCs w:val="36"/>
        </w:rPr>
      </w:pPr>
      <w:r w:rsidRPr="008171EB">
        <w:rPr>
          <w:rFonts w:asciiTheme="majorHAnsi" w:eastAsiaTheme="majorEastAsia" w:hAnsiTheme="majorHAnsi" w:cstheme="majorBidi"/>
          <w:b/>
          <w:color w:val="000000" w:themeColor="text1"/>
          <w:sz w:val="28"/>
          <w:szCs w:val="36"/>
        </w:rPr>
        <w:t>A manera de Conclusión</w:t>
      </w:r>
      <w:bookmarkStart w:id="33" w:name="_GoBack"/>
      <w:bookmarkEnd w:id="33"/>
      <w:r w:rsidR="00933447">
        <w:rPr>
          <w:rFonts w:asciiTheme="majorHAnsi" w:eastAsiaTheme="majorEastAsia" w:hAnsiTheme="majorHAnsi" w:cstheme="majorBidi"/>
          <w:b/>
          <w:color w:val="000000" w:themeColor="text1"/>
          <w:sz w:val="28"/>
          <w:szCs w:val="36"/>
        </w:rPr>
        <w:t xml:space="preserve">: </w:t>
      </w:r>
    </w:p>
    <w:p w:rsidR="00E37834" w:rsidRDefault="00D052F1" w:rsidP="00E37834">
      <w:pPr>
        <w:spacing w:line="276" w:lineRule="auto"/>
        <w:jc w:val="both"/>
        <w:rPr>
          <w:sz w:val="24"/>
          <w:szCs w:val="24"/>
        </w:rPr>
      </w:pPr>
      <w:r w:rsidRPr="00D052F1">
        <w:rPr>
          <w:sz w:val="24"/>
          <w:szCs w:val="24"/>
        </w:rPr>
        <w:t xml:space="preserve">La anterior radiografía </w:t>
      </w:r>
      <w:r>
        <w:rPr>
          <w:sz w:val="24"/>
          <w:szCs w:val="24"/>
        </w:rPr>
        <w:t xml:space="preserve">presentada en materia de hechos de corrupción reportados por la prensa permite concluir varios elementos. </w:t>
      </w:r>
    </w:p>
    <w:p w:rsidR="00790CDE" w:rsidRDefault="00933447" w:rsidP="00E37834">
      <w:pPr>
        <w:spacing w:line="276" w:lineRule="auto"/>
        <w:jc w:val="both"/>
        <w:rPr>
          <w:sz w:val="24"/>
          <w:szCs w:val="24"/>
        </w:rPr>
      </w:pPr>
      <w:r>
        <w:rPr>
          <w:sz w:val="24"/>
          <w:szCs w:val="24"/>
        </w:rPr>
        <w:t xml:space="preserve">El </w:t>
      </w:r>
      <w:r w:rsidR="00790CDE">
        <w:rPr>
          <w:sz w:val="24"/>
          <w:szCs w:val="24"/>
        </w:rPr>
        <w:t>reporte de 3</w:t>
      </w:r>
      <w:r>
        <w:rPr>
          <w:sz w:val="24"/>
          <w:szCs w:val="24"/>
        </w:rPr>
        <w:t>27</w:t>
      </w:r>
      <w:r w:rsidR="00790CDE">
        <w:rPr>
          <w:sz w:val="24"/>
          <w:szCs w:val="24"/>
        </w:rPr>
        <w:t xml:space="preserve"> hechos de corrupción e</w:t>
      </w:r>
      <w:r w:rsidR="00D052F1">
        <w:rPr>
          <w:sz w:val="24"/>
          <w:szCs w:val="24"/>
        </w:rPr>
        <w:t xml:space="preserve">ntre enero del 2016 y julio del 2018 </w:t>
      </w:r>
      <w:r w:rsidR="00790CDE">
        <w:rPr>
          <w:sz w:val="24"/>
          <w:szCs w:val="24"/>
        </w:rPr>
        <w:t>demuestra que la corrupción es un problema rentable y permanente en el país. Los hechos recopilados demuestran no sólo la complejidad de las prácticas corruptas sino también la diversidad de maniobras y dinámicas sofisticadas que se usan al momento de abusar del poder y desviar recurso</w:t>
      </w:r>
      <w:r w:rsidR="0080268F">
        <w:rPr>
          <w:sz w:val="24"/>
          <w:szCs w:val="24"/>
        </w:rPr>
        <w:t xml:space="preserve">s públicos. </w:t>
      </w:r>
      <w:r w:rsidR="00790CDE">
        <w:rPr>
          <w:sz w:val="24"/>
          <w:szCs w:val="24"/>
        </w:rPr>
        <w:t xml:space="preserve">Este panorama </w:t>
      </w:r>
      <w:r w:rsidR="00C873EF">
        <w:rPr>
          <w:sz w:val="24"/>
          <w:szCs w:val="24"/>
        </w:rPr>
        <w:t xml:space="preserve">revela que la corrupción </w:t>
      </w:r>
      <w:r>
        <w:rPr>
          <w:sz w:val="24"/>
          <w:szCs w:val="24"/>
        </w:rPr>
        <w:t xml:space="preserve">genera </w:t>
      </w:r>
      <w:r w:rsidR="00C873EF">
        <w:rPr>
          <w:sz w:val="24"/>
          <w:szCs w:val="24"/>
        </w:rPr>
        <w:t>una</w:t>
      </w:r>
      <w:r w:rsidR="00790CDE">
        <w:rPr>
          <w:sz w:val="24"/>
          <w:szCs w:val="24"/>
        </w:rPr>
        <w:t xml:space="preserve"> afectación directa a los derechos humanos de los colombianos, especialmente </w:t>
      </w:r>
      <w:r>
        <w:rPr>
          <w:sz w:val="24"/>
          <w:szCs w:val="24"/>
        </w:rPr>
        <w:t xml:space="preserve">a grupos sociales en condiciones críticas de vulnerabilidad. </w:t>
      </w:r>
      <w:r w:rsidR="00790CDE">
        <w:rPr>
          <w:sz w:val="24"/>
          <w:szCs w:val="24"/>
        </w:rPr>
        <w:t xml:space="preserve"> </w:t>
      </w:r>
    </w:p>
    <w:p w:rsidR="0080268F" w:rsidRDefault="0080268F" w:rsidP="00E37834">
      <w:pPr>
        <w:spacing w:line="276" w:lineRule="auto"/>
        <w:jc w:val="both"/>
        <w:rPr>
          <w:sz w:val="24"/>
          <w:szCs w:val="24"/>
        </w:rPr>
      </w:pPr>
      <w:r>
        <w:rPr>
          <w:sz w:val="24"/>
          <w:szCs w:val="24"/>
        </w:rPr>
        <w:t>Las decisiones corruptas en manos de servidores públicos, autoridades electas, miembros del sector privado y otros actores generan</w:t>
      </w:r>
      <w:r w:rsidRPr="00443678">
        <w:rPr>
          <w:sz w:val="24"/>
          <w:szCs w:val="24"/>
        </w:rPr>
        <w:t xml:space="preserve"> </w:t>
      </w:r>
      <w:r>
        <w:rPr>
          <w:sz w:val="24"/>
          <w:szCs w:val="24"/>
        </w:rPr>
        <w:t xml:space="preserve">altos </w:t>
      </w:r>
      <w:r w:rsidRPr="00443678">
        <w:rPr>
          <w:sz w:val="24"/>
          <w:szCs w:val="24"/>
        </w:rPr>
        <w:t xml:space="preserve">costos sociales y económicos, </w:t>
      </w:r>
      <w:r>
        <w:rPr>
          <w:sz w:val="24"/>
          <w:szCs w:val="24"/>
        </w:rPr>
        <w:t>afectando sectores vitale</w:t>
      </w:r>
      <w:r w:rsidR="006F226C">
        <w:rPr>
          <w:sz w:val="24"/>
          <w:szCs w:val="24"/>
        </w:rPr>
        <w:t>s del desarrollo de la sociedad. C</w:t>
      </w:r>
      <w:r>
        <w:rPr>
          <w:sz w:val="24"/>
          <w:szCs w:val="24"/>
        </w:rPr>
        <w:t>omo se vio en este informe</w:t>
      </w:r>
      <w:r w:rsidR="006F226C">
        <w:rPr>
          <w:sz w:val="24"/>
          <w:szCs w:val="24"/>
        </w:rPr>
        <w:t xml:space="preserve">, dichos sectores </w:t>
      </w:r>
      <w:r>
        <w:rPr>
          <w:sz w:val="24"/>
          <w:szCs w:val="24"/>
        </w:rPr>
        <w:t xml:space="preserve">siguen siendo Educación, Salud, Infraestructura y servicios públicos. </w:t>
      </w:r>
    </w:p>
    <w:p w:rsidR="00A24A81" w:rsidRDefault="00A24A81" w:rsidP="00443678">
      <w:pPr>
        <w:spacing w:line="276" w:lineRule="auto"/>
        <w:jc w:val="both"/>
        <w:rPr>
          <w:sz w:val="24"/>
          <w:szCs w:val="24"/>
        </w:rPr>
      </w:pPr>
      <w:r>
        <w:rPr>
          <w:sz w:val="24"/>
          <w:szCs w:val="24"/>
        </w:rPr>
        <w:t>A pesar d</w:t>
      </w:r>
      <w:r w:rsidR="00443678">
        <w:rPr>
          <w:sz w:val="24"/>
          <w:szCs w:val="24"/>
        </w:rPr>
        <w:t>el alto</w:t>
      </w:r>
      <w:r w:rsidR="00933447">
        <w:rPr>
          <w:sz w:val="24"/>
          <w:szCs w:val="24"/>
        </w:rPr>
        <w:t xml:space="preserve"> porcentaje de reporte de hechos de corrupción </w:t>
      </w:r>
      <w:r w:rsidR="0080268F">
        <w:rPr>
          <w:sz w:val="24"/>
          <w:szCs w:val="24"/>
        </w:rPr>
        <w:t>administrativa,</w:t>
      </w:r>
      <w:r w:rsidR="00443678">
        <w:rPr>
          <w:sz w:val="24"/>
          <w:szCs w:val="24"/>
        </w:rPr>
        <w:t xml:space="preserve"> </w:t>
      </w:r>
      <w:r w:rsidR="00933447">
        <w:rPr>
          <w:sz w:val="24"/>
          <w:szCs w:val="24"/>
        </w:rPr>
        <w:t xml:space="preserve">en donde se </w:t>
      </w:r>
      <w:r w:rsidR="00443678">
        <w:rPr>
          <w:sz w:val="24"/>
          <w:szCs w:val="24"/>
        </w:rPr>
        <w:t>vio</w:t>
      </w:r>
      <w:r w:rsidR="00933447">
        <w:rPr>
          <w:sz w:val="24"/>
          <w:szCs w:val="24"/>
        </w:rPr>
        <w:t xml:space="preserve"> afectado en gran proporción el ámbito de la contratación </w:t>
      </w:r>
      <w:r w:rsidR="0080268F">
        <w:rPr>
          <w:sz w:val="24"/>
          <w:szCs w:val="24"/>
        </w:rPr>
        <w:t>pública,</w:t>
      </w:r>
      <w:r>
        <w:rPr>
          <w:sz w:val="24"/>
          <w:szCs w:val="24"/>
        </w:rPr>
        <w:t xml:space="preserve"> se debe</w:t>
      </w:r>
      <w:r w:rsidR="0080268F">
        <w:rPr>
          <w:sz w:val="24"/>
          <w:szCs w:val="24"/>
        </w:rPr>
        <w:t xml:space="preserve"> pensar la ocurrencia de hechos de corrupción desde </w:t>
      </w:r>
      <w:r>
        <w:rPr>
          <w:sz w:val="24"/>
          <w:szCs w:val="24"/>
        </w:rPr>
        <w:t xml:space="preserve">un estado mayor de complejidad, en donde diversos </w:t>
      </w:r>
      <w:r w:rsidRPr="00E41810">
        <w:rPr>
          <w:sz w:val="24"/>
          <w:szCs w:val="24"/>
        </w:rPr>
        <w:t>agentes sociales</w:t>
      </w:r>
      <w:r>
        <w:rPr>
          <w:sz w:val="24"/>
          <w:szCs w:val="24"/>
        </w:rPr>
        <w:t xml:space="preserve">, políticos y económicos –legales o </w:t>
      </w:r>
      <w:r w:rsidRPr="00E41810">
        <w:rPr>
          <w:sz w:val="24"/>
          <w:szCs w:val="24"/>
        </w:rPr>
        <w:t xml:space="preserve">ilegales </w:t>
      </w:r>
      <w:r>
        <w:rPr>
          <w:sz w:val="24"/>
          <w:szCs w:val="24"/>
        </w:rPr>
        <w:t>–</w:t>
      </w:r>
      <w:r w:rsidR="0080268F">
        <w:rPr>
          <w:sz w:val="24"/>
          <w:szCs w:val="24"/>
        </w:rPr>
        <w:t>, tanto públicos como privados</w:t>
      </w:r>
      <w:r w:rsidR="005B249F">
        <w:rPr>
          <w:sz w:val="24"/>
          <w:szCs w:val="24"/>
        </w:rPr>
        <w:t>, crean</w:t>
      </w:r>
      <w:r>
        <w:rPr>
          <w:sz w:val="24"/>
          <w:szCs w:val="24"/>
        </w:rPr>
        <w:t xml:space="preserve"> </w:t>
      </w:r>
      <w:r w:rsidRPr="00E41810">
        <w:rPr>
          <w:sz w:val="24"/>
          <w:szCs w:val="24"/>
        </w:rPr>
        <w:t>escenarios de captura</w:t>
      </w:r>
      <w:r>
        <w:rPr>
          <w:sz w:val="24"/>
          <w:szCs w:val="24"/>
        </w:rPr>
        <w:t xml:space="preserve"> del Estado y </w:t>
      </w:r>
      <w:r w:rsidRPr="00E41810">
        <w:rPr>
          <w:sz w:val="24"/>
          <w:szCs w:val="24"/>
        </w:rPr>
        <w:t>de</w:t>
      </w:r>
      <w:r>
        <w:rPr>
          <w:sz w:val="24"/>
          <w:szCs w:val="24"/>
        </w:rPr>
        <w:t xml:space="preserve"> la </w:t>
      </w:r>
      <w:r w:rsidRPr="00E41810">
        <w:rPr>
          <w:sz w:val="24"/>
          <w:szCs w:val="24"/>
        </w:rPr>
        <w:t>institucional</w:t>
      </w:r>
      <w:r>
        <w:rPr>
          <w:sz w:val="24"/>
          <w:szCs w:val="24"/>
        </w:rPr>
        <w:t>idad misma del país</w:t>
      </w:r>
      <w:r w:rsidR="005B249F">
        <w:rPr>
          <w:rStyle w:val="Refdenotaalpie"/>
          <w:sz w:val="24"/>
          <w:szCs w:val="24"/>
        </w:rPr>
        <w:footnoteReference w:id="28"/>
      </w:r>
      <w:r>
        <w:rPr>
          <w:sz w:val="24"/>
          <w:szCs w:val="24"/>
        </w:rPr>
        <w:t xml:space="preserve"> </w:t>
      </w:r>
    </w:p>
    <w:p w:rsidR="00D052F1" w:rsidRDefault="00E41810" w:rsidP="00443678">
      <w:pPr>
        <w:spacing w:line="276" w:lineRule="auto"/>
        <w:jc w:val="both"/>
        <w:rPr>
          <w:sz w:val="24"/>
          <w:szCs w:val="24"/>
        </w:rPr>
      </w:pPr>
      <w:r>
        <w:rPr>
          <w:sz w:val="24"/>
          <w:szCs w:val="24"/>
        </w:rPr>
        <w:t>Lo anterior obliga</w:t>
      </w:r>
      <w:r w:rsidR="0080268F">
        <w:rPr>
          <w:sz w:val="24"/>
          <w:szCs w:val="24"/>
        </w:rPr>
        <w:t xml:space="preserve"> no sólo</w:t>
      </w:r>
      <w:r>
        <w:rPr>
          <w:sz w:val="24"/>
          <w:szCs w:val="24"/>
        </w:rPr>
        <w:t xml:space="preserve"> a </w:t>
      </w:r>
      <w:r w:rsidR="00443678">
        <w:rPr>
          <w:sz w:val="24"/>
          <w:szCs w:val="24"/>
        </w:rPr>
        <w:t xml:space="preserve">emprender </w:t>
      </w:r>
      <w:r>
        <w:rPr>
          <w:sz w:val="24"/>
          <w:szCs w:val="24"/>
        </w:rPr>
        <w:t xml:space="preserve">medidas contundentes y </w:t>
      </w:r>
      <w:r w:rsidR="0080268F">
        <w:rPr>
          <w:sz w:val="24"/>
          <w:szCs w:val="24"/>
        </w:rPr>
        <w:t>eficaces por</w:t>
      </w:r>
      <w:r>
        <w:rPr>
          <w:sz w:val="24"/>
          <w:szCs w:val="24"/>
        </w:rPr>
        <w:t xml:space="preserve"> parte de los órganos de control </w:t>
      </w:r>
      <w:r w:rsidR="0080268F">
        <w:rPr>
          <w:sz w:val="24"/>
          <w:szCs w:val="24"/>
        </w:rPr>
        <w:t xml:space="preserve">en el logro de </w:t>
      </w:r>
      <w:r w:rsidR="00A24A81">
        <w:rPr>
          <w:sz w:val="24"/>
          <w:szCs w:val="24"/>
        </w:rPr>
        <w:t>sanci</w:t>
      </w:r>
      <w:r w:rsidR="0080268F">
        <w:rPr>
          <w:sz w:val="24"/>
          <w:szCs w:val="24"/>
        </w:rPr>
        <w:t>ones</w:t>
      </w:r>
      <w:r w:rsidR="00A24A81">
        <w:rPr>
          <w:sz w:val="24"/>
          <w:szCs w:val="24"/>
        </w:rPr>
        <w:t xml:space="preserve"> </w:t>
      </w:r>
      <w:r w:rsidR="006F226C">
        <w:rPr>
          <w:sz w:val="24"/>
          <w:szCs w:val="24"/>
        </w:rPr>
        <w:t>punitivas a</w:t>
      </w:r>
      <w:r w:rsidR="0080268F">
        <w:rPr>
          <w:sz w:val="24"/>
          <w:szCs w:val="24"/>
        </w:rPr>
        <w:t xml:space="preserve"> los corruptos sino también avanzar hacia el reconocimiento de la afectación social que generan </w:t>
      </w:r>
      <w:r w:rsidR="0080268F" w:rsidRPr="0080268F">
        <w:rPr>
          <w:sz w:val="24"/>
          <w:szCs w:val="24"/>
        </w:rPr>
        <w:t>distintas formas de corrupción</w:t>
      </w:r>
      <w:r w:rsidR="0080268F">
        <w:rPr>
          <w:sz w:val="24"/>
          <w:szCs w:val="24"/>
        </w:rPr>
        <w:t>. La corrupción al igual que el conflicto armado, ha generado</w:t>
      </w:r>
      <w:r w:rsidR="006F226C">
        <w:rPr>
          <w:sz w:val="24"/>
          <w:szCs w:val="24"/>
        </w:rPr>
        <w:t xml:space="preserve"> y genera</w:t>
      </w:r>
      <w:r w:rsidR="0080268F">
        <w:rPr>
          <w:sz w:val="24"/>
          <w:szCs w:val="24"/>
        </w:rPr>
        <w:t xml:space="preserve"> víctimas </w:t>
      </w:r>
      <w:r w:rsidR="006F226C">
        <w:rPr>
          <w:sz w:val="24"/>
          <w:szCs w:val="24"/>
        </w:rPr>
        <w:t xml:space="preserve">por lo cual se deben proyectar esfuerzos concretos hacia el </w:t>
      </w:r>
      <w:r w:rsidR="006F226C" w:rsidRPr="006F226C">
        <w:rPr>
          <w:sz w:val="24"/>
          <w:szCs w:val="24"/>
        </w:rPr>
        <w:t>resarcimiento material e inmaterial del daño</w:t>
      </w:r>
      <w:r w:rsidR="006F226C">
        <w:rPr>
          <w:sz w:val="24"/>
          <w:szCs w:val="24"/>
        </w:rPr>
        <w:t xml:space="preserve"> causado por estos hechos. </w:t>
      </w:r>
    </w:p>
    <w:p w:rsidR="00E41810" w:rsidRPr="00D052F1" w:rsidRDefault="00E41810" w:rsidP="00443678">
      <w:pPr>
        <w:spacing w:line="276" w:lineRule="auto"/>
        <w:jc w:val="both"/>
        <w:rPr>
          <w:sz w:val="24"/>
          <w:szCs w:val="24"/>
        </w:rPr>
      </w:pPr>
    </w:p>
    <w:p w:rsidR="00E37834" w:rsidRDefault="00E37834" w:rsidP="00E37834">
      <w:pPr>
        <w:spacing w:line="276" w:lineRule="auto"/>
        <w:jc w:val="both"/>
        <w:rPr>
          <w:rFonts w:cstheme="minorHAnsi"/>
          <w:b/>
        </w:rPr>
      </w:pPr>
    </w:p>
    <w:p w:rsidR="00E37834" w:rsidRDefault="00E37834" w:rsidP="00E37834">
      <w:pPr>
        <w:spacing w:line="276" w:lineRule="auto"/>
        <w:jc w:val="both"/>
        <w:rPr>
          <w:rFonts w:cstheme="minorHAnsi"/>
          <w:b/>
        </w:rPr>
      </w:pPr>
    </w:p>
    <w:p w:rsidR="00E37834" w:rsidRDefault="00E37834" w:rsidP="00E37834">
      <w:pPr>
        <w:spacing w:line="276" w:lineRule="auto"/>
        <w:jc w:val="both"/>
        <w:rPr>
          <w:rFonts w:cstheme="minorHAnsi"/>
          <w:b/>
        </w:rPr>
      </w:pPr>
    </w:p>
    <w:p w:rsidR="00E41810" w:rsidRDefault="00E41810" w:rsidP="00E37834">
      <w:pPr>
        <w:spacing w:line="276" w:lineRule="auto"/>
        <w:rPr>
          <w:rFonts w:cstheme="minorHAnsi"/>
          <w:b/>
        </w:rPr>
      </w:pPr>
    </w:p>
    <w:p w:rsidR="006F226C" w:rsidRPr="00E37834" w:rsidRDefault="006F226C" w:rsidP="00E37834">
      <w:pPr>
        <w:spacing w:line="276" w:lineRule="auto"/>
        <w:rPr>
          <w:rFonts w:cstheme="minorHAnsi"/>
          <w:b/>
        </w:rPr>
      </w:pPr>
    </w:p>
    <w:p w:rsidR="00E37834" w:rsidRDefault="00E37834" w:rsidP="00E37834">
      <w:pPr>
        <w:pStyle w:val="Prrafodelista"/>
        <w:numPr>
          <w:ilvl w:val="0"/>
          <w:numId w:val="11"/>
        </w:numPr>
        <w:spacing w:line="276" w:lineRule="auto"/>
        <w:jc w:val="center"/>
        <w:rPr>
          <w:rFonts w:asciiTheme="majorHAnsi" w:eastAsiaTheme="majorEastAsia" w:hAnsiTheme="majorHAnsi" w:cstheme="majorBidi"/>
          <w:b/>
          <w:color w:val="000000" w:themeColor="text1"/>
          <w:sz w:val="28"/>
          <w:szCs w:val="36"/>
        </w:rPr>
      </w:pPr>
      <w:r w:rsidRPr="00E37834">
        <w:rPr>
          <w:rFonts w:asciiTheme="majorHAnsi" w:eastAsiaTheme="majorEastAsia" w:hAnsiTheme="majorHAnsi" w:cstheme="majorBidi"/>
          <w:b/>
          <w:color w:val="000000" w:themeColor="text1"/>
          <w:sz w:val="28"/>
          <w:szCs w:val="36"/>
        </w:rPr>
        <w:t>Tabla de anexos</w:t>
      </w:r>
    </w:p>
    <w:p w:rsidR="0032179F" w:rsidRPr="0032179F" w:rsidRDefault="0032179F" w:rsidP="0032179F">
      <w:pPr>
        <w:pStyle w:val="Prrafodelista"/>
        <w:spacing w:line="276" w:lineRule="auto"/>
        <w:ind w:left="786"/>
        <w:rPr>
          <w:rFonts w:asciiTheme="majorHAnsi" w:eastAsiaTheme="majorEastAsia" w:hAnsiTheme="majorHAnsi" w:cstheme="majorBidi"/>
          <w:b/>
          <w:color w:val="000000" w:themeColor="text1"/>
          <w:szCs w:val="36"/>
        </w:rPr>
      </w:pPr>
      <w:r w:rsidRPr="0032179F">
        <w:rPr>
          <w:rFonts w:asciiTheme="majorHAnsi" w:eastAsiaTheme="majorEastAsia" w:hAnsiTheme="majorHAnsi" w:cstheme="majorBidi"/>
          <w:b/>
          <w:color w:val="000000" w:themeColor="text1"/>
          <w:szCs w:val="36"/>
        </w:rPr>
        <w:t xml:space="preserve">9.1 </w:t>
      </w:r>
      <w:r>
        <w:rPr>
          <w:rFonts w:asciiTheme="majorHAnsi" w:eastAsiaTheme="majorEastAsia" w:hAnsiTheme="majorHAnsi" w:cstheme="majorBidi"/>
          <w:b/>
          <w:color w:val="000000" w:themeColor="text1"/>
          <w:szCs w:val="36"/>
        </w:rPr>
        <w:t xml:space="preserve">Listado de medios y número de notas utilizadas para la construcción de hechos de corrupción (2016-2018) </w:t>
      </w:r>
    </w:p>
    <w:tbl>
      <w:tblPr>
        <w:tblW w:w="6520" w:type="dxa"/>
        <w:jc w:val="center"/>
        <w:tblInd w:w="56" w:type="dxa"/>
        <w:tblCellMar>
          <w:left w:w="70" w:type="dxa"/>
          <w:right w:w="70" w:type="dxa"/>
        </w:tblCellMar>
        <w:tblLook w:val="04A0"/>
      </w:tblPr>
      <w:tblGrid>
        <w:gridCol w:w="2400"/>
        <w:gridCol w:w="2111"/>
        <w:gridCol w:w="2009"/>
      </w:tblGrid>
      <w:tr w:rsidR="009D44DC" w:rsidRPr="009D44DC" w:rsidTr="009E1F5A">
        <w:trPr>
          <w:trHeight w:val="300"/>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b/>
                <w:bCs/>
                <w:color w:val="000000"/>
                <w:lang w:eastAsia="es-CO"/>
              </w:rPr>
            </w:pPr>
            <w:r w:rsidRPr="009D44DC">
              <w:rPr>
                <w:rFonts w:ascii="Calibri" w:eastAsia="Times New Roman" w:hAnsi="Calibri" w:cs="Times New Roman"/>
                <w:b/>
                <w:bCs/>
                <w:color w:val="000000"/>
                <w:lang w:eastAsia="es-CO"/>
              </w:rPr>
              <w:t>Medio</w:t>
            </w:r>
            <w:r>
              <w:rPr>
                <w:rFonts w:ascii="Calibri" w:eastAsia="Times New Roman" w:hAnsi="Calibri" w:cs="Times New Roman"/>
                <w:b/>
                <w:bCs/>
                <w:color w:val="000000"/>
                <w:lang w:eastAsia="es-CO"/>
              </w:rPr>
              <w:t xml:space="preserve"> </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b/>
                <w:bCs/>
                <w:color w:val="000000"/>
                <w:lang w:eastAsia="es-CO"/>
              </w:rPr>
            </w:pPr>
            <w:r w:rsidRPr="009D44DC">
              <w:rPr>
                <w:rFonts w:ascii="Calibri" w:eastAsia="Times New Roman" w:hAnsi="Calibri" w:cs="Times New Roman"/>
                <w:b/>
                <w:bCs/>
                <w:color w:val="000000"/>
                <w:lang w:eastAsia="es-CO"/>
              </w:rPr>
              <w:t xml:space="preserve">Número de Notas </w:t>
            </w:r>
          </w:p>
        </w:tc>
        <w:tc>
          <w:tcPr>
            <w:tcW w:w="2009" w:type="dxa"/>
            <w:tcBorders>
              <w:top w:val="single" w:sz="4" w:space="0" w:color="auto"/>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b/>
                <w:bCs/>
                <w:color w:val="000000"/>
                <w:lang w:eastAsia="es-CO"/>
              </w:rPr>
            </w:pPr>
            <w:r w:rsidRPr="009D44DC">
              <w:rPr>
                <w:rFonts w:ascii="Calibri" w:eastAsia="Times New Roman" w:hAnsi="Calibri" w:cs="Times New Roman"/>
                <w:b/>
                <w:bCs/>
                <w:color w:val="000000"/>
                <w:lang w:eastAsia="es-CO"/>
              </w:rPr>
              <w:t xml:space="preserve">Porcentaje </w:t>
            </w:r>
          </w:p>
        </w:tc>
      </w:tr>
      <w:tr w:rsidR="009D44DC" w:rsidRPr="009D44DC" w:rsidTr="009E1F5A">
        <w:trPr>
          <w:trHeight w:val="525"/>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El Tiempo</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90</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18</w:t>
            </w:r>
            <w:r>
              <w:rPr>
                <w:rFonts w:ascii="Calibri" w:eastAsia="Times New Roman" w:hAnsi="Calibri" w:cs="Times New Roman"/>
                <w:color w:val="000000"/>
                <w:lang w:eastAsia="es-CO"/>
              </w:rPr>
              <w:t>%</w:t>
            </w:r>
          </w:p>
        </w:tc>
      </w:tr>
      <w:tr w:rsidR="009D44DC" w:rsidRPr="009D44DC" w:rsidTr="009E1F5A">
        <w:trPr>
          <w:trHeight w:val="525"/>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El Heraldo</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85</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17</w:t>
            </w:r>
            <w:r>
              <w:rPr>
                <w:rFonts w:ascii="Calibri" w:eastAsia="Times New Roman" w:hAnsi="Calibri" w:cs="Times New Roman"/>
                <w:color w:val="000000"/>
                <w:lang w:eastAsia="es-CO"/>
              </w:rPr>
              <w:t>%</w:t>
            </w:r>
          </w:p>
        </w:tc>
      </w:tr>
      <w:tr w:rsidR="009D44DC" w:rsidRPr="009D44DC" w:rsidTr="009E1F5A">
        <w:trPr>
          <w:trHeight w:val="300"/>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El Nuevo Siglo</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53</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11</w:t>
            </w:r>
            <w:r>
              <w:rPr>
                <w:rFonts w:ascii="Calibri" w:eastAsia="Times New Roman" w:hAnsi="Calibri" w:cs="Times New Roman"/>
                <w:color w:val="000000"/>
                <w:lang w:eastAsia="es-CO"/>
              </w:rPr>
              <w:t>%</w:t>
            </w:r>
          </w:p>
        </w:tc>
      </w:tr>
      <w:tr w:rsidR="009D44DC" w:rsidRPr="009D44DC" w:rsidTr="009E1F5A">
        <w:trPr>
          <w:trHeight w:val="525"/>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 xml:space="preserve">Vanguardia Liberal </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51</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10</w:t>
            </w:r>
            <w:r>
              <w:rPr>
                <w:rFonts w:ascii="Calibri" w:eastAsia="Times New Roman" w:hAnsi="Calibri" w:cs="Times New Roman"/>
                <w:color w:val="000000"/>
                <w:lang w:eastAsia="es-CO"/>
              </w:rPr>
              <w:t>%</w:t>
            </w:r>
          </w:p>
        </w:tc>
      </w:tr>
      <w:tr w:rsidR="009D44DC" w:rsidRPr="009D44DC" w:rsidTr="009E1F5A">
        <w:trPr>
          <w:trHeight w:val="525"/>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El Espectador</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41</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8</w:t>
            </w:r>
            <w:r>
              <w:rPr>
                <w:rFonts w:ascii="Calibri" w:eastAsia="Times New Roman" w:hAnsi="Calibri" w:cs="Times New Roman"/>
                <w:color w:val="000000"/>
                <w:lang w:eastAsia="es-CO"/>
              </w:rPr>
              <w:t>%</w:t>
            </w:r>
          </w:p>
        </w:tc>
      </w:tr>
      <w:tr w:rsidR="009D44DC" w:rsidRPr="009D44DC" w:rsidTr="009E1F5A">
        <w:trPr>
          <w:trHeight w:val="300"/>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Boletín Fiscalía</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32</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6</w:t>
            </w:r>
            <w:r>
              <w:rPr>
                <w:rFonts w:ascii="Calibri" w:eastAsia="Times New Roman" w:hAnsi="Calibri" w:cs="Times New Roman"/>
                <w:color w:val="000000"/>
                <w:lang w:eastAsia="es-CO"/>
              </w:rPr>
              <w:t>%</w:t>
            </w:r>
          </w:p>
        </w:tc>
      </w:tr>
      <w:tr w:rsidR="009D44DC" w:rsidRPr="009D44DC" w:rsidTr="009E1F5A">
        <w:trPr>
          <w:trHeight w:val="300"/>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El Colombiano</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24</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5</w:t>
            </w:r>
            <w:r>
              <w:rPr>
                <w:rFonts w:ascii="Calibri" w:eastAsia="Times New Roman" w:hAnsi="Calibri" w:cs="Times New Roman"/>
                <w:color w:val="000000"/>
                <w:lang w:eastAsia="es-CO"/>
              </w:rPr>
              <w:t>%</w:t>
            </w:r>
          </w:p>
        </w:tc>
      </w:tr>
      <w:tr w:rsidR="009D44DC" w:rsidRPr="009D44DC" w:rsidTr="009E1F5A">
        <w:trPr>
          <w:trHeight w:val="300"/>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Caracol Radio</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23</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5</w:t>
            </w:r>
            <w:r>
              <w:rPr>
                <w:rFonts w:ascii="Calibri" w:eastAsia="Times New Roman" w:hAnsi="Calibri" w:cs="Times New Roman"/>
                <w:color w:val="000000"/>
                <w:lang w:eastAsia="es-CO"/>
              </w:rPr>
              <w:t>%</w:t>
            </w:r>
          </w:p>
        </w:tc>
      </w:tr>
      <w:tr w:rsidR="009D44DC" w:rsidRPr="009D44DC" w:rsidTr="009E1F5A">
        <w:trPr>
          <w:trHeight w:val="300"/>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La W Radio</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16</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3</w:t>
            </w:r>
            <w:r w:rsidR="009E1F5A">
              <w:rPr>
                <w:rFonts w:ascii="Calibri" w:eastAsia="Times New Roman" w:hAnsi="Calibri" w:cs="Times New Roman"/>
                <w:color w:val="000000"/>
                <w:lang w:eastAsia="es-CO"/>
              </w:rPr>
              <w:t>%</w:t>
            </w:r>
          </w:p>
        </w:tc>
      </w:tr>
      <w:tr w:rsidR="009D44DC" w:rsidRPr="009D44DC" w:rsidTr="009E1F5A">
        <w:trPr>
          <w:trHeight w:val="300"/>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Boletín Procuraduría</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15</w:t>
            </w:r>
          </w:p>
        </w:tc>
        <w:tc>
          <w:tcPr>
            <w:tcW w:w="2009" w:type="dxa"/>
            <w:tcBorders>
              <w:top w:val="nil"/>
              <w:left w:val="nil"/>
              <w:bottom w:val="single" w:sz="4" w:space="0" w:color="auto"/>
              <w:right w:val="single" w:sz="4" w:space="0" w:color="auto"/>
            </w:tcBorders>
            <w:shd w:val="clear" w:color="auto" w:fill="auto"/>
            <w:noWrap/>
            <w:vAlign w:val="bottom"/>
            <w:hideMark/>
          </w:tcPr>
          <w:p w:rsidR="009E1F5A" w:rsidRPr="009D44DC" w:rsidRDefault="009D44DC" w:rsidP="009E1F5A">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3</w:t>
            </w:r>
            <w:r w:rsidR="009E1F5A">
              <w:rPr>
                <w:rFonts w:ascii="Calibri" w:eastAsia="Times New Roman" w:hAnsi="Calibri" w:cs="Times New Roman"/>
                <w:color w:val="000000"/>
                <w:lang w:eastAsia="es-CO"/>
              </w:rPr>
              <w:t>%</w:t>
            </w:r>
          </w:p>
        </w:tc>
      </w:tr>
      <w:tr w:rsidR="009D44DC" w:rsidRPr="009D44DC" w:rsidTr="009E1F5A">
        <w:trPr>
          <w:trHeight w:val="221"/>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 xml:space="preserve">El </w:t>
            </w:r>
            <w:r w:rsidR="009E1F5A" w:rsidRPr="009D44DC">
              <w:rPr>
                <w:rFonts w:ascii="Calibri" w:eastAsia="Times New Roman" w:hAnsi="Calibri" w:cs="Times New Roman"/>
                <w:color w:val="000000"/>
                <w:lang w:eastAsia="es-CO"/>
              </w:rPr>
              <w:t>País</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15</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3</w:t>
            </w:r>
            <w:r w:rsidR="009E1F5A">
              <w:rPr>
                <w:rFonts w:ascii="Calibri" w:eastAsia="Times New Roman" w:hAnsi="Calibri" w:cs="Times New Roman"/>
                <w:color w:val="000000"/>
                <w:lang w:eastAsia="es-CO"/>
              </w:rPr>
              <w:t>%</w:t>
            </w:r>
          </w:p>
        </w:tc>
      </w:tr>
      <w:tr w:rsidR="009D44DC" w:rsidRPr="009D44DC" w:rsidTr="009E1F5A">
        <w:trPr>
          <w:trHeight w:val="300"/>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RCN Radio</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11</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2</w:t>
            </w:r>
            <w:r w:rsidR="009E1F5A">
              <w:rPr>
                <w:rFonts w:ascii="Calibri" w:eastAsia="Times New Roman" w:hAnsi="Calibri" w:cs="Times New Roman"/>
                <w:color w:val="000000"/>
                <w:lang w:eastAsia="es-CO"/>
              </w:rPr>
              <w:t>%</w:t>
            </w:r>
          </w:p>
        </w:tc>
      </w:tr>
      <w:tr w:rsidR="009D44DC" w:rsidRPr="009D44DC" w:rsidTr="009E1F5A">
        <w:trPr>
          <w:trHeight w:val="503"/>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Revista Semana</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9</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2</w:t>
            </w:r>
            <w:r w:rsidR="009E1F5A">
              <w:rPr>
                <w:rFonts w:ascii="Calibri" w:eastAsia="Times New Roman" w:hAnsi="Calibri" w:cs="Times New Roman"/>
                <w:color w:val="000000"/>
                <w:lang w:eastAsia="es-CO"/>
              </w:rPr>
              <w:t>%</w:t>
            </w:r>
          </w:p>
        </w:tc>
      </w:tr>
      <w:tr w:rsidR="009D44DC" w:rsidRPr="009D44DC" w:rsidTr="009E1F5A">
        <w:trPr>
          <w:trHeight w:val="393"/>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El Universal</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6</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1</w:t>
            </w:r>
            <w:r w:rsidR="009E1F5A">
              <w:rPr>
                <w:rFonts w:ascii="Calibri" w:eastAsia="Times New Roman" w:hAnsi="Calibri" w:cs="Times New Roman"/>
                <w:color w:val="000000"/>
                <w:lang w:eastAsia="es-CO"/>
              </w:rPr>
              <w:t>%</w:t>
            </w:r>
          </w:p>
        </w:tc>
      </w:tr>
      <w:tr w:rsidR="009D44DC" w:rsidRPr="009D44DC" w:rsidTr="009E1F5A">
        <w:trPr>
          <w:trHeight w:val="427"/>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La FM Radio</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5</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1</w:t>
            </w:r>
            <w:r w:rsidR="009E1F5A">
              <w:rPr>
                <w:rFonts w:ascii="Calibri" w:eastAsia="Times New Roman" w:hAnsi="Calibri" w:cs="Times New Roman"/>
                <w:color w:val="000000"/>
                <w:lang w:eastAsia="es-CO"/>
              </w:rPr>
              <w:t>%</w:t>
            </w:r>
          </w:p>
        </w:tc>
      </w:tr>
      <w:tr w:rsidR="009D44DC" w:rsidRPr="009D44DC" w:rsidTr="009E1F5A">
        <w:trPr>
          <w:trHeight w:val="405"/>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La República</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5</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1</w:t>
            </w:r>
            <w:r w:rsidR="009E1F5A">
              <w:rPr>
                <w:rFonts w:ascii="Calibri" w:eastAsia="Times New Roman" w:hAnsi="Calibri" w:cs="Times New Roman"/>
                <w:color w:val="000000"/>
                <w:lang w:eastAsia="es-CO"/>
              </w:rPr>
              <w:t>%</w:t>
            </w:r>
          </w:p>
        </w:tc>
      </w:tr>
      <w:tr w:rsidR="009D44DC" w:rsidRPr="009D44DC" w:rsidTr="009E1F5A">
        <w:trPr>
          <w:trHeight w:val="411"/>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Blu Radio</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2</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0,4</w:t>
            </w:r>
            <w:r w:rsidR="009E1F5A">
              <w:rPr>
                <w:rFonts w:ascii="Calibri" w:eastAsia="Times New Roman" w:hAnsi="Calibri" w:cs="Times New Roman"/>
                <w:color w:val="000000"/>
                <w:lang w:eastAsia="es-CO"/>
              </w:rPr>
              <w:t>%</w:t>
            </w:r>
          </w:p>
        </w:tc>
      </w:tr>
      <w:tr w:rsidR="009D44DC" w:rsidRPr="009D44DC" w:rsidTr="009E1F5A">
        <w:trPr>
          <w:trHeight w:val="525"/>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Boletín Contraloría</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2</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0,4</w:t>
            </w:r>
            <w:r w:rsidR="009E1F5A">
              <w:rPr>
                <w:rFonts w:ascii="Calibri" w:eastAsia="Times New Roman" w:hAnsi="Calibri" w:cs="Times New Roman"/>
                <w:color w:val="000000"/>
                <w:lang w:eastAsia="es-CO"/>
              </w:rPr>
              <w:t>%</w:t>
            </w:r>
          </w:p>
        </w:tc>
      </w:tr>
      <w:tr w:rsidR="009D44DC" w:rsidRPr="009D44DC" w:rsidTr="009E1F5A">
        <w:trPr>
          <w:trHeight w:val="311"/>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La Opinión</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2</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0,4</w:t>
            </w:r>
            <w:r w:rsidR="009E1F5A">
              <w:rPr>
                <w:rFonts w:ascii="Calibri" w:eastAsia="Times New Roman" w:hAnsi="Calibri" w:cs="Times New Roman"/>
                <w:color w:val="000000"/>
                <w:lang w:eastAsia="es-CO"/>
              </w:rPr>
              <w:t>%</w:t>
            </w:r>
          </w:p>
        </w:tc>
      </w:tr>
      <w:tr w:rsidR="009D44DC" w:rsidRPr="009D44DC" w:rsidTr="009E1F5A">
        <w:trPr>
          <w:trHeight w:val="300"/>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Revista Dinero</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2</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0,4</w:t>
            </w:r>
            <w:r w:rsidR="009E1F5A">
              <w:rPr>
                <w:rFonts w:ascii="Calibri" w:eastAsia="Times New Roman" w:hAnsi="Calibri" w:cs="Times New Roman"/>
                <w:color w:val="000000"/>
                <w:lang w:eastAsia="es-CO"/>
              </w:rPr>
              <w:t>%</w:t>
            </w:r>
          </w:p>
        </w:tc>
      </w:tr>
      <w:tr w:rsidR="009D44DC" w:rsidRPr="009D44DC" w:rsidTr="009E1F5A">
        <w:trPr>
          <w:trHeight w:val="391"/>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Crónica del Quindío</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1</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0,2</w:t>
            </w:r>
            <w:r w:rsidR="009E1F5A">
              <w:rPr>
                <w:rFonts w:ascii="Calibri" w:eastAsia="Times New Roman" w:hAnsi="Calibri" w:cs="Times New Roman"/>
                <w:color w:val="000000"/>
                <w:lang w:eastAsia="es-CO"/>
              </w:rPr>
              <w:t>%</w:t>
            </w:r>
          </w:p>
        </w:tc>
      </w:tr>
      <w:tr w:rsidR="009D44DC" w:rsidRPr="009D44DC" w:rsidTr="009E1F5A">
        <w:trPr>
          <w:trHeight w:val="283"/>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Diario del Huila</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1</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0,2</w:t>
            </w:r>
            <w:r w:rsidR="009E1F5A">
              <w:rPr>
                <w:rFonts w:ascii="Calibri" w:eastAsia="Times New Roman" w:hAnsi="Calibri" w:cs="Times New Roman"/>
                <w:color w:val="000000"/>
                <w:lang w:eastAsia="es-CO"/>
              </w:rPr>
              <w:t>%</w:t>
            </w:r>
          </w:p>
        </w:tc>
      </w:tr>
      <w:tr w:rsidR="009D44DC" w:rsidRPr="009D44DC" w:rsidTr="009E1F5A">
        <w:trPr>
          <w:trHeight w:val="401"/>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El Mundo</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1</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0,2</w:t>
            </w:r>
            <w:r w:rsidR="009E1F5A">
              <w:rPr>
                <w:rFonts w:ascii="Calibri" w:eastAsia="Times New Roman" w:hAnsi="Calibri" w:cs="Times New Roman"/>
                <w:color w:val="000000"/>
                <w:lang w:eastAsia="es-CO"/>
              </w:rPr>
              <w:t>%</w:t>
            </w:r>
          </w:p>
        </w:tc>
      </w:tr>
      <w:tr w:rsidR="009D44DC" w:rsidRPr="009D44DC" w:rsidTr="009E1F5A">
        <w:trPr>
          <w:trHeight w:val="279"/>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La Patria</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1</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9D44DC" w:rsidRDefault="009D44DC" w:rsidP="009D44DC">
            <w:pPr>
              <w:spacing w:after="0" w:line="240" w:lineRule="auto"/>
              <w:jc w:val="right"/>
              <w:rPr>
                <w:rFonts w:ascii="Calibri" w:eastAsia="Times New Roman" w:hAnsi="Calibri" w:cs="Times New Roman"/>
                <w:color w:val="000000"/>
                <w:lang w:eastAsia="es-CO"/>
              </w:rPr>
            </w:pPr>
            <w:r w:rsidRPr="009D44DC">
              <w:rPr>
                <w:rFonts w:ascii="Calibri" w:eastAsia="Times New Roman" w:hAnsi="Calibri" w:cs="Times New Roman"/>
                <w:color w:val="000000"/>
                <w:lang w:eastAsia="es-CO"/>
              </w:rPr>
              <w:t>0,2</w:t>
            </w:r>
            <w:r w:rsidR="009E1F5A">
              <w:rPr>
                <w:rFonts w:ascii="Calibri" w:eastAsia="Times New Roman" w:hAnsi="Calibri" w:cs="Times New Roman"/>
                <w:color w:val="000000"/>
                <w:lang w:eastAsia="es-CO"/>
              </w:rPr>
              <w:t>%</w:t>
            </w:r>
          </w:p>
        </w:tc>
      </w:tr>
      <w:tr w:rsidR="009D44DC" w:rsidRPr="00EA4806" w:rsidTr="009E1F5A">
        <w:trPr>
          <w:trHeight w:val="411"/>
          <w:jc w:val="center"/>
        </w:trPr>
        <w:tc>
          <w:tcPr>
            <w:tcW w:w="240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b/>
                <w:bCs/>
                <w:color w:val="000000"/>
                <w:lang w:eastAsia="es-CO"/>
              </w:rPr>
            </w:pPr>
            <w:r w:rsidRPr="009D44DC">
              <w:rPr>
                <w:rFonts w:ascii="Calibri" w:eastAsia="Times New Roman" w:hAnsi="Calibri" w:cs="Times New Roman"/>
                <w:b/>
                <w:bCs/>
                <w:color w:val="000000"/>
                <w:lang w:eastAsia="es-CO"/>
              </w:rPr>
              <w:t>Total</w:t>
            </w:r>
          </w:p>
        </w:tc>
        <w:tc>
          <w:tcPr>
            <w:tcW w:w="2111" w:type="dxa"/>
            <w:tcBorders>
              <w:top w:val="single" w:sz="4" w:space="0" w:color="auto"/>
              <w:left w:val="nil"/>
              <w:bottom w:val="single" w:sz="4" w:space="0" w:color="auto"/>
              <w:right w:val="single" w:sz="4" w:space="0" w:color="000000"/>
            </w:tcBorders>
            <w:shd w:val="clear" w:color="auto" w:fill="auto"/>
            <w:noWrap/>
            <w:vAlign w:val="bottom"/>
            <w:hideMark/>
          </w:tcPr>
          <w:p w:rsidR="009D44DC" w:rsidRPr="009D44DC" w:rsidRDefault="009D44DC" w:rsidP="009D44DC">
            <w:pPr>
              <w:spacing w:after="0" w:line="240" w:lineRule="auto"/>
              <w:jc w:val="center"/>
              <w:rPr>
                <w:rFonts w:ascii="Calibri" w:eastAsia="Times New Roman" w:hAnsi="Calibri" w:cs="Times New Roman"/>
                <w:b/>
                <w:bCs/>
                <w:color w:val="000000"/>
                <w:lang w:eastAsia="es-CO"/>
              </w:rPr>
            </w:pPr>
            <w:r w:rsidRPr="009D44DC">
              <w:rPr>
                <w:rFonts w:ascii="Calibri" w:eastAsia="Times New Roman" w:hAnsi="Calibri" w:cs="Times New Roman"/>
                <w:b/>
                <w:bCs/>
                <w:color w:val="000000"/>
                <w:lang w:eastAsia="es-CO"/>
              </w:rPr>
              <w:t>493</w:t>
            </w:r>
          </w:p>
        </w:tc>
        <w:tc>
          <w:tcPr>
            <w:tcW w:w="2009" w:type="dxa"/>
            <w:tcBorders>
              <w:top w:val="nil"/>
              <w:left w:val="nil"/>
              <w:bottom w:val="single" w:sz="4" w:space="0" w:color="auto"/>
              <w:right w:val="single" w:sz="4" w:space="0" w:color="auto"/>
            </w:tcBorders>
            <w:shd w:val="clear" w:color="auto" w:fill="auto"/>
            <w:noWrap/>
            <w:vAlign w:val="bottom"/>
            <w:hideMark/>
          </w:tcPr>
          <w:p w:rsidR="009D44DC" w:rsidRPr="00EA4806" w:rsidRDefault="009D44DC" w:rsidP="009D44DC">
            <w:pPr>
              <w:spacing w:after="0" w:line="240" w:lineRule="auto"/>
              <w:jc w:val="right"/>
              <w:rPr>
                <w:rFonts w:ascii="Calibri" w:eastAsia="Times New Roman" w:hAnsi="Calibri" w:cs="Times New Roman"/>
                <w:b/>
                <w:color w:val="000000"/>
                <w:lang w:eastAsia="es-CO"/>
              </w:rPr>
            </w:pPr>
            <w:r w:rsidRPr="00EA4806">
              <w:rPr>
                <w:rFonts w:ascii="Calibri" w:eastAsia="Times New Roman" w:hAnsi="Calibri" w:cs="Times New Roman"/>
                <w:b/>
                <w:color w:val="000000"/>
                <w:lang w:eastAsia="es-CO"/>
              </w:rPr>
              <w:t>100%</w:t>
            </w:r>
          </w:p>
        </w:tc>
      </w:tr>
    </w:tbl>
    <w:p w:rsidR="009D44DC" w:rsidRDefault="009D44DC" w:rsidP="009D44DC">
      <w:pPr>
        <w:spacing w:line="276" w:lineRule="auto"/>
        <w:ind w:left="426"/>
        <w:rPr>
          <w:rFonts w:asciiTheme="majorHAnsi" w:eastAsiaTheme="majorEastAsia" w:hAnsiTheme="majorHAnsi" w:cstheme="majorBidi"/>
          <w:b/>
          <w:color w:val="000000" w:themeColor="text1"/>
          <w:sz w:val="28"/>
          <w:szCs w:val="36"/>
        </w:rPr>
      </w:pPr>
    </w:p>
    <w:p w:rsidR="00127920" w:rsidRDefault="00127920" w:rsidP="009D44DC">
      <w:pPr>
        <w:spacing w:line="276" w:lineRule="auto"/>
        <w:ind w:left="426"/>
        <w:rPr>
          <w:rFonts w:asciiTheme="majorHAnsi" w:eastAsiaTheme="majorEastAsia" w:hAnsiTheme="majorHAnsi" w:cstheme="majorBidi"/>
          <w:b/>
          <w:color w:val="000000" w:themeColor="text1"/>
          <w:sz w:val="28"/>
          <w:szCs w:val="36"/>
        </w:rPr>
      </w:pPr>
    </w:p>
    <w:tbl>
      <w:tblPr>
        <w:tblStyle w:val="Tablaconcuadrcula"/>
        <w:tblW w:w="0" w:type="auto"/>
        <w:tblInd w:w="1951" w:type="dxa"/>
        <w:tblLook w:val="04A0"/>
      </w:tblPr>
      <w:tblGrid>
        <w:gridCol w:w="2793"/>
        <w:gridCol w:w="3019"/>
      </w:tblGrid>
      <w:tr w:rsidR="00127920" w:rsidTr="00127920">
        <w:tc>
          <w:tcPr>
            <w:tcW w:w="2793" w:type="dxa"/>
          </w:tcPr>
          <w:p w:rsidR="00127920" w:rsidRPr="00127920" w:rsidRDefault="00127920" w:rsidP="009D44DC">
            <w:pPr>
              <w:spacing w:line="276" w:lineRule="auto"/>
              <w:rPr>
                <w:rFonts w:ascii="Calibri" w:eastAsia="Times New Roman" w:hAnsi="Calibri" w:cs="Times New Roman"/>
                <w:b/>
                <w:bCs/>
                <w:color w:val="000000"/>
                <w:lang w:eastAsia="es-CO"/>
              </w:rPr>
            </w:pPr>
            <w:r w:rsidRPr="00127920">
              <w:rPr>
                <w:rFonts w:ascii="Calibri" w:eastAsia="Times New Roman" w:hAnsi="Calibri" w:cs="Times New Roman"/>
                <w:b/>
                <w:bCs/>
                <w:color w:val="000000"/>
                <w:lang w:eastAsia="es-CO"/>
              </w:rPr>
              <w:t>Año de búsqueda</w:t>
            </w:r>
          </w:p>
        </w:tc>
        <w:tc>
          <w:tcPr>
            <w:tcW w:w="3019" w:type="dxa"/>
          </w:tcPr>
          <w:p w:rsidR="00127920" w:rsidRPr="00127920" w:rsidRDefault="00127920" w:rsidP="009D44DC">
            <w:pPr>
              <w:spacing w:line="276" w:lineRule="auto"/>
              <w:rPr>
                <w:rFonts w:ascii="Calibri" w:eastAsia="Times New Roman" w:hAnsi="Calibri" w:cs="Times New Roman"/>
                <w:b/>
                <w:bCs/>
                <w:color w:val="000000"/>
                <w:lang w:eastAsia="es-CO"/>
              </w:rPr>
            </w:pPr>
            <w:r w:rsidRPr="00127920">
              <w:rPr>
                <w:rFonts w:ascii="Calibri" w:eastAsia="Times New Roman" w:hAnsi="Calibri" w:cs="Times New Roman"/>
                <w:b/>
                <w:bCs/>
                <w:color w:val="000000"/>
                <w:lang w:eastAsia="es-CO"/>
              </w:rPr>
              <w:t xml:space="preserve">Reporte de Notas </w:t>
            </w:r>
          </w:p>
        </w:tc>
      </w:tr>
      <w:tr w:rsidR="00127920" w:rsidTr="00127920">
        <w:tc>
          <w:tcPr>
            <w:tcW w:w="2793" w:type="dxa"/>
          </w:tcPr>
          <w:p w:rsidR="00127920" w:rsidRPr="00127920" w:rsidRDefault="00127920" w:rsidP="00127920">
            <w:pPr>
              <w:spacing w:line="276" w:lineRule="auto"/>
              <w:jc w:val="center"/>
              <w:rPr>
                <w:rFonts w:ascii="Calibri" w:eastAsia="Times New Roman" w:hAnsi="Calibri" w:cs="Times New Roman"/>
                <w:bCs/>
                <w:color w:val="000000"/>
                <w:lang w:eastAsia="es-CO"/>
              </w:rPr>
            </w:pPr>
            <w:r w:rsidRPr="00127920">
              <w:rPr>
                <w:rFonts w:ascii="Calibri" w:eastAsia="Times New Roman" w:hAnsi="Calibri" w:cs="Times New Roman"/>
                <w:bCs/>
                <w:color w:val="000000"/>
                <w:lang w:eastAsia="es-CO"/>
              </w:rPr>
              <w:t>2016</w:t>
            </w:r>
          </w:p>
        </w:tc>
        <w:tc>
          <w:tcPr>
            <w:tcW w:w="3019" w:type="dxa"/>
          </w:tcPr>
          <w:p w:rsidR="00127920" w:rsidRDefault="00B20D3B" w:rsidP="00B20D3B">
            <w:pPr>
              <w:spacing w:line="276" w:lineRule="auto"/>
              <w:jc w:val="center"/>
              <w:rPr>
                <w:rFonts w:asciiTheme="majorHAnsi" w:eastAsiaTheme="majorEastAsia" w:hAnsiTheme="majorHAnsi" w:cstheme="majorBidi"/>
                <w:b/>
                <w:color w:val="000000" w:themeColor="text1"/>
                <w:sz w:val="28"/>
                <w:szCs w:val="36"/>
              </w:rPr>
            </w:pPr>
            <w:r w:rsidRPr="00B20D3B">
              <w:rPr>
                <w:rFonts w:ascii="Calibri" w:eastAsia="Times New Roman" w:hAnsi="Calibri" w:cs="Times New Roman"/>
                <w:bCs/>
                <w:color w:val="000000"/>
                <w:lang w:eastAsia="es-CO"/>
              </w:rPr>
              <w:t>1</w:t>
            </w:r>
            <w:r>
              <w:rPr>
                <w:rFonts w:ascii="Calibri" w:eastAsia="Times New Roman" w:hAnsi="Calibri" w:cs="Times New Roman"/>
                <w:bCs/>
                <w:color w:val="000000"/>
                <w:lang w:eastAsia="es-CO"/>
              </w:rPr>
              <w:t>2</w:t>
            </w:r>
            <w:r w:rsidR="001E6A23">
              <w:rPr>
                <w:rFonts w:ascii="Calibri" w:eastAsia="Times New Roman" w:hAnsi="Calibri" w:cs="Times New Roman"/>
                <w:bCs/>
                <w:color w:val="000000"/>
                <w:lang w:eastAsia="es-CO"/>
              </w:rPr>
              <w:t>5</w:t>
            </w:r>
          </w:p>
        </w:tc>
      </w:tr>
      <w:tr w:rsidR="00127920" w:rsidTr="00127920">
        <w:tc>
          <w:tcPr>
            <w:tcW w:w="2793" w:type="dxa"/>
          </w:tcPr>
          <w:p w:rsidR="00127920" w:rsidRPr="00127920" w:rsidRDefault="00127920" w:rsidP="00127920">
            <w:pPr>
              <w:spacing w:line="276" w:lineRule="auto"/>
              <w:jc w:val="center"/>
              <w:rPr>
                <w:rFonts w:ascii="Calibri" w:eastAsia="Times New Roman" w:hAnsi="Calibri" w:cs="Times New Roman"/>
                <w:bCs/>
                <w:color w:val="000000"/>
                <w:lang w:eastAsia="es-CO"/>
              </w:rPr>
            </w:pPr>
            <w:r w:rsidRPr="00127920">
              <w:rPr>
                <w:rFonts w:ascii="Calibri" w:eastAsia="Times New Roman" w:hAnsi="Calibri" w:cs="Times New Roman"/>
                <w:bCs/>
                <w:color w:val="000000"/>
                <w:lang w:eastAsia="es-CO"/>
              </w:rPr>
              <w:t>2017</w:t>
            </w:r>
          </w:p>
        </w:tc>
        <w:tc>
          <w:tcPr>
            <w:tcW w:w="3019" w:type="dxa"/>
          </w:tcPr>
          <w:p w:rsidR="00127920" w:rsidRPr="00B20D3B" w:rsidRDefault="00B20D3B" w:rsidP="00B20D3B">
            <w:pPr>
              <w:spacing w:line="276" w:lineRule="auto"/>
              <w:jc w:val="center"/>
              <w:rPr>
                <w:rFonts w:ascii="Calibri" w:eastAsia="Times New Roman" w:hAnsi="Calibri" w:cs="Times New Roman"/>
                <w:bCs/>
                <w:color w:val="000000"/>
                <w:lang w:eastAsia="es-CO"/>
              </w:rPr>
            </w:pPr>
            <w:r w:rsidRPr="00B20D3B">
              <w:rPr>
                <w:rFonts w:ascii="Calibri" w:eastAsia="Times New Roman" w:hAnsi="Calibri" w:cs="Times New Roman"/>
                <w:bCs/>
                <w:color w:val="000000"/>
                <w:lang w:eastAsia="es-CO"/>
              </w:rPr>
              <w:t>2</w:t>
            </w:r>
            <w:r w:rsidR="001E6A23">
              <w:rPr>
                <w:rFonts w:ascii="Calibri" w:eastAsia="Times New Roman" w:hAnsi="Calibri" w:cs="Times New Roman"/>
                <w:bCs/>
                <w:color w:val="000000"/>
                <w:lang w:eastAsia="es-CO"/>
              </w:rPr>
              <w:t>31</w:t>
            </w:r>
          </w:p>
        </w:tc>
      </w:tr>
      <w:tr w:rsidR="00127920" w:rsidTr="00127920">
        <w:tc>
          <w:tcPr>
            <w:tcW w:w="2793" w:type="dxa"/>
          </w:tcPr>
          <w:p w:rsidR="00127920" w:rsidRPr="00127920" w:rsidRDefault="00127920" w:rsidP="00127920">
            <w:pPr>
              <w:spacing w:line="276" w:lineRule="auto"/>
              <w:jc w:val="center"/>
              <w:rPr>
                <w:rFonts w:ascii="Calibri" w:eastAsia="Times New Roman" w:hAnsi="Calibri" w:cs="Times New Roman"/>
                <w:bCs/>
                <w:color w:val="000000"/>
                <w:lang w:eastAsia="es-CO"/>
              </w:rPr>
            </w:pPr>
            <w:r w:rsidRPr="00127920">
              <w:rPr>
                <w:rFonts w:ascii="Calibri" w:eastAsia="Times New Roman" w:hAnsi="Calibri" w:cs="Times New Roman"/>
                <w:bCs/>
                <w:color w:val="000000"/>
                <w:lang w:eastAsia="es-CO"/>
              </w:rPr>
              <w:t>2018</w:t>
            </w:r>
          </w:p>
        </w:tc>
        <w:tc>
          <w:tcPr>
            <w:tcW w:w="3019" w:type="dxa"/>
          </w:tcPr>
          <w:p w:rsidR="00127920" w:rsidRDefault="00127920" w:rsidP="00127920">
            <w:pPr>
              <w:spacing w:line="276" w:lineRule="auto"/>
              <w:jc w:val="center"/>
              <w:rPr>
                <w:rFonts w:asciiTheme="majorHAnsi" w:eastAsiaTheme="majorEastAsia" w:hAnsiTheme="majorHAnsi" w:cstheme="majorBidi"/>
                <w:b/>
                <w:color w:val="000000" w:themeColor="text1"/>
                <w:sz w:val="28"/>
                <w:szCs w:val="36"/>
              </w:rPr>
            </w:pPr>
            <w:r w:rsidRPr="00127920">
              <w:rPr>
                <w:rFonts w:ascii="Calibri" w:eastAsia="Times New Roman" w:hAnsi="Calibri" w:cs="Times New Roman"/>
                <w:bCs/>
                <w:color w:val="000000"/>
                <w:lang w:eastAsia="es-CO"/>
              </w:rPr>
              <w:t>1</w:t>
            </w:r>
            <w:r w:rsidR="001E6A23">
              <w:rPr>
                <w:rFonts w:ascii="Calibri" w:eastAsia="Times New Roman" w:hAnsi="Calibri" w:cs="Times New Roman"/>
                <w:bCs/>
                <w:color w:val="000000"/>
                <w:lang w:eastAsia="es-CO"/>
              </w:rPr>
              <w:t>37</w:t>
            </w:r>
          </w:p>
        </w:tc>
      </w:tr>
    </w:tbl>
    <w:p w:rsidR="009E1F5A" w:rsidRPr="00127920" w:rsidRDefault="00127920" w:rsidP="00127920">
      <w:pPr>
        <w:spacing w:line="276" w:lineRule="auto"/>
        <w:jc w:val="center"/>
        <w:rPr>
          <w:rFonts w:eastAsiaTheme="majorEastAsia" w:cstheme="majorBidi"/>
          <w:color w:val="000000" w:themeColor="text1"/>
          <w:sz w:val="18"/>
          <w:szCs w:val="36"/>
        </w:rPr>
      </w:pPr>
      <w:r>
        <w:rPr>
          <w:rFonts w:eastAsiaTheme="majorEastAsia" w:cstheme="majorBidi"/>
          <w:color w:val="000000" w:themeColor="text1"/>
          <w:sz w:val="18"/>
          <w:szCs w:val="36"/>
        </w:rPr>
        <w:t xml:space="preserve">Fuente: Monitor Ciudadano (2016-2018) </w:t>
      </w:r>
    </w:p>
    <w:p w:rsidR="00E37834" w:rsidRPr="00E37834" w:rsidRDefault="00EF3FA9" w:rsidP="00E37834">
      <w:pPr>
        <w:spacing w:line="276" w:lineRule="auto"/>
        <w:rPr>
          <w:rFonts w:asciiTheme="majorHAnsi" w:eastAsiaTheme="majorEastAsia" w:hAnsiTheme="majorHAnsi" w:cstheme="majorBidi"/>
          <w:b/>
          <w:color w:val="000000" w:themeColor="text1"/>
          <w:szCs w:val="36"/>
        </w:rPr>
      </w:pPr>
      <w:r>
        <w:rPr>
          <w:rFonts w:asciiTheme="majorHAnsi" w:eastAsiaTheme="majorEastAsia" w:hAnsiTheme="majorHAnsi" w:cstheme="majorBidi"/>
          <w:b/>
          <w:color w:val="000000" w:themeColor="text1"/>
          <w:szCs w:val="36"/>
        </w:rPr>
        <w:t xml:space="preserve">9.2 </w:t>
      </w:r>
      <w:r w:rsidR="00E37834" w:rsidRPr="00E37834">
        <w:rPr>
          <w:rFonts w:asciiTheme="majorHAnsi" w:eastAsiaTheme="majorEastAsia" w:hAnsiTheme="majorHAnsi" w:cstheme="majorBidi"/>
          <w:b/>
          <w:color w:val="000000" w:themeColor="text1"/>
          <w:szCs w:val="36"/>
        </w:rPr>
        <w:t xml:space="preserve">Presupuesto </w:t>
      </w:r>
      <w:r w:rsidR="00E37834">
        <w:rPr>
          <w:rFonts w:asciiTheme="majorHAnsi" w:eastAsiaTheme="majorEastAsia" w:hAnsiTheme="majorHAnsi" w:cstheme="majorBidi"/>
          <w:b/>
          <w:color w:val="000000" w:themeColor="text1"/>
          <w:szCs w:val="36"/>
        </w:rPr>
        <w:t xml:space="preserve">General de la Nación por Sectores Educación, Salud y Transporte </w:t>
      </w:r>
    </w:p>
    <w:tbl>
      <w:tblPr>
        <w:tblW w:w="8766" w:type="dxa"/>
        <w:tblInd w:w="56" w:type="dxa"/>
        <w:tblCellMar>
          <w:left w:w="70" w:type="dxa"/>
          <w:right w:w="70" w:type="dxa"/>
        </w:tblCellMar>
        <w:tblLook w:val="04A0"/>
      </w:tblPr>
      <w:tblGrid>
        <w:gridCol w:w="3608"/>
        <w:gridCol w:w="1137"/>
        <w:gridCol w:w="1137"/>
        <w:gridCol w:w="2884"/>
      </w:tblGrid>
      <w:tr w:rsidR="00E37834" w:rsidRPr="00E37834" w:rsidTr="00E37834">
        <w:trPr>
          <w:trHeight w:val="360"/>
        </w:trPr>
        <w:tc>
          <w:tcPr>
            <w:tcW w:w="8766" w:type="dxa"/>
            <w:gridSpan w:val="4"/>
            <w:tcBorders>
              <w:top w:val="nil"/>
              <w:left w:val="nil"/>
              <w:bottom w:val="nil"/>
              <w:right w:val="nil"/>
            </w:tcBorders>
            <w:shd w:val="clear" w:color="auto" w:fill="auto"/>
            <w:noWrap/>
            <w:vAlign w:val="center"/>
            <w:hideMark/>
          </w:tcPr>
          <w:p w:rsidR="00E37834" w:rsidRPr="00EA4806" w:rsidRDefault="00E37834" w:rsidP="00E37834">
            <w:pPr>
              <w:spacing w:after="0" w:line="240" w:lineRule="auto"/>
              <w:jc w:val="center"/>
              <w:rPr>
                <w:rFonts w:ascii="Century" w:eastAsia="Times New Roman" w:hAnsi="Century" w:cs="Times New Roman"/>
                <w:b/>
                <w:bCs/>
                <w:color w:val="000000" w:themeColor="text1"/>
                <w:sz w:val="28"/>
                <w:szCs w:val="28"/>
                <w:lang w:eastAsia="es-CO"/>
              </w:rPr>
            </w:pPr>
            <w:r w:rsidRPr="00EA4806">
              <w:rPr>
                <w:rFonts w:ascii="Century" w:eastAsia="Times New Roman" w:hAnsi="Century" w:cs="Times New Roman"/>
                <w:b/>
                <w:bCs/>
                <w:color w:val="000000" w:themeColor="text1"/>
                <w:sz w:val="24"/>
                <w:szCs w:val="28"/>
                <w:lang w:eastAsia="es-CO"/>
              </w:rPr>
              <w:t>Compromisos PGN por Sector</w:t>
            </w:r>
          </w:p>
        </w:tc>
      </w:tr>
      <w:tr w:rsidR="00E37834" w:rsidRPr="00EA4806" w:rsidTr="00E37834">
        <w:trPr>
          <w:trHeight w:val="300"/>
        </w:trPr>
        <w:tc>
          <w:tcPr>
            <w:tcW w:w="3608" w:type="dxa"/>
            <w:tcBorders>
              <w:top w:val="nil"/>
              <w:left w:val="nil"/>
              <w:bottom w:val="nil"/>
              <w:right w:val="nil"/>
            </w:tcBorders>
            <w:shd w:val="clear" w:color="auto" w:fill="auto"/>
            <w:noWrap/>
            <w:vAlign w:val="bottom"/>
            <w:hideMark/>
          </w:tcPr>
          <w:p w:rsidR="00E37834" w:rsidRPr="00E37834" w:rsidRDefault="00E37834" w:rsidP="00E37834">
            <w:pPr>
              <w:spacing w:after="0" w:line="240" w:lineRule="auto"/>
              <w:rPr>
                <w:rFonts w:ascii="Century" w:eastAsia="Times New Roman" w:hAnsi="Century" w:cs="Times New Roman"/>
                <w:color w:val="000000"/>
                <w:lang w:eastAsia="es-CO"/>
              </w:rPr>
            </w:pPr>
          </w:p>
        </w:tc>
        <w:tc>
          <w:tcPr>
            <w:tcW w:w="1137" w:type="dxa"/>
            <w:tcBorders>
              <w:top w:val="nil"/>
              <w:left w:val="nil"/>
              <w:bottom w:val="nil"/>
              <w:right w:val="nil"/>
            </w:tcBorders>
            <w:shd w:val="clear" w:color="auto" w:fill="auto"/>
            <w:noWrap/>
            <w:vAlign w:val="center"/>
            <w:hideMark/>
          </w:tcPr>
          <w:p w:rsidR="00E37834" w:rsidRPr="00E37834" w:rsidRDefault="00E37834" w:rsidP="00E37834">
            <w:pPr>
              <w:spacing w:after="0" w:line="240" w:lineRule="auto"/>
              <w:jc w:val="right"/>
              <w:rPr>
                <w:rFonts w:ascii="Century Gothic" w:eastAsia="Times New Roman" w:hAnsi="Century Gothic" w:cs="Times New Roman"/>
                <w:sz w:val="18"/>
                <w:szCs w:val="18"/>
                <w:lang w:eastAsia="es-CO"/>
              </w:rPr>
            </w:pPr>
          </w:p>
        </w:tc>
        <w:tc>
          <w:tcPr>
            <w:tcW w:w="1137" w:type="dxa"/>
            <w:tcBorders>
              <w:top w:val="nil"/>
              <w:left w:val="nil"/>
              <w:bottom w:val="nil"/>
              <w:right w:val="nil"/>
            </w:tcBorders>
            <w:shd w:val="clear" w:color="auto" w:fill="auto"/>
            <w:noWrap/>
            <w:vAlign w:val="center"/>
            <w:hideMark/>
          </w:tcPr>
          <w:p w:rsidR="00E37834" w:rsidRPr="00E37834" w:rsidRDefault="00E37834" w:rsidP="00E37834">
            <w:pPr>
              <w:spacing w:after="0" w:line="240" w:lineRule="auto"/>
              <w:jc w:val="right"/>
              <w:rPr>
                <w:rFonts w:ascii="Century Gothic" w:eastAsia="Times New Roman" w:hAnsi="Century Gothic" w:cs="Times New Roman"/>
                <w:sz w:val="18"/>
                <w:szCs w:val="18"/>
                <w:lang w:eastAsia="es-CO"/>
              </w:rPr>
            </w:pPr>
          </w:p>
        </w:tc>
        <w:tc>
          <w:tcPr>
            <w:tcW w:w="2884" w:type="dxa"/>
            <w:tcBorders>
              <w:top w:val="nil"/>
              <w:left w:val="nil"/>
              <w:bottom w:val="nil"/>
              <w:right w:val="nil"/>
            </w:tcBorders>
            <w:shd w:val="clear" w:color="auto" w:fill="auto"/>
            <w:noWrap/>
            <w:vAlign w:val="center"/>
            <w:hideMark/>
          </w:tcPr>
          <w:p w:rsidR="00E37834" w:rsidRPr="00EA4806" w:rsidRDefault="00E37834" w:rsidP="00E37834">
            <w:pPr>
              <w:spacing w:after="0" w:line="240" w:lineRule="auto"/>
              <w:jc w:val="right"/>
              <w:rPr>
                <w:rFonts w:ascii="Century" w:eastAsia="Times New Roman" w:hAnsi="Century" w:cs="Times New Roman"/>
                <w:b/>
                <w:bCs/>
                <w:color w:val="000000" w:themeColor="text1"/>
                <w:sz w:val="24"/>
                <w:szCs w:val="28"/>
                <w:lang w:eastAsia="es-CO"/>
              </w:rPr>
            </w:pPr>
            <w:r w:rsidRPr="00EA4806">
              <w:rPr>
                <w:rFonts w:ascii="Century" w:eastAsia="Times New Roman" w:hAnsi="Century" w:cs="Times New Roman"/>
                <w:b/>
                <w:bCs/>
                <w:color w:val="000000" w:themeColor="text1"/>
                <w:sz w:val="24"/>
                <w:szCs w:val="28"/>
                <w:lang w:eastAsia="es-CO"/>
              </w:rPr>
              <w:t>Miles de millones de pesos</w:t>
            </w:r>
          </w:p>
        </w:tc>
      </w:tr>
      <w:tr w:rsidR="00E37834" w:rsidRPr="00E37834" w:rsidTr="00E37834">
        <w:trPr>
          <w:trHeight w:val="300"/>
        </w:trPr>
        <w:tc>
          <w:tcPr>
            <w:tcW w:w="3608" w:type="dxa"/>
            <w:vMerge w:val="restart"/>
            <w:tcBorders>
              <w:top w:val="nil"/>
              <w:left w:val="nil"/>
              <w:bottom w:val="nil"/>
              <w:right w:val="nil"/>
            </w:tcBorders>
            <w:shd w:val="clear" w:color="000000" w:fill="203864"/>
            <w:vAlign w:val="center"/>
            <w:hideMark/>
          </w:tcPr>
          <w:p w:rsidR="00E37834" w:rsidRPr="00E37834" w:rsidRDefault="00E37834" w:rsidP="00E37834">
            <w:pPr>
              <w:spacing w:after="0" w:line="240" w:lineRule="auto"/>
              <w:ind w:firstLineChars="100" w:firstLine="181"/>
              <w:rPr>
                <w:rFonts w:ascii="Century Gothic" w:eastAsia="Times New Roman" w:hAnsi="Century Gothic" w:cs="Times New Roman"/>
                <w:b/>
                <w:bCs/>
                <w:color w:val="FFFFFF"/>
                <w:sz w:val="18"/>
                <w:szCs w:val="18"/>
                <w:lang w:eastAsia="es-CO"/>
              </w:rPr>
            </w:pPr>
            <w:r w:rsidRPr="00E37834">
              <w:rPr>
                <w:rFonts w:ascii="Century Gothic" w:eastAsia="Times New Roman" w:hAnsi="Century Gothic" w:cs="Times New Roman"/>
                <w:b/>
                <w:bCs/>
                <w:color w:val="FFFFFF"/>
                <w:sz w:val="18"/>
                <w:szCs w:val="18"/>
                <w:lang w:eastAsia="es-CO"/>
              </w:rPr>
              <w:t>Sector</w:t>
            </w:r>
          </w:p>
        </w:tc>
        <w:tc>
          <w:tcPr>
            <w:tcW w:w="1137" w:type="dxa"/>
            <w:vMerge w:val="restart"/>
            <w:tcBorders>
              <w:top w:val="nil"/>
              <w:left w:val="nil"/>
              <w:bottom w:val="nil"/>
              <w:right w:val="nil"/>
            </w:tcBorders>
            <w:shd w:val="clear" w:color="000000" w:fill="203864"/>
            <w:vAlign w:val="center"/>
            <w:hideMark/>
          </w:tcPr>
          <w:p w:rsidR="00E37834" w:rsidRPr="00E37834" w:rsidRDefault="00E37834" w:rsidP="00E37834">
            <w:pPr>
              <w:spacing w:after="0" w:line="240" w:lineRule="auto"/>
              <w:jc w:val="center"/>
              <w:rPr>
                <w:rFonts w:ascii="Century Gothic" w:eastAsia="Times New Roman" w:hAnsi="Century Gothic" w:cs="Times New Roman"/>
                <w:b/>
                <w:bCs/>
                <w:color w:val="FFFFFF"/>
                <w:sz w:val="18"/>
                <w:szCs w:val="18"/>
                <w:lang w:eastAsia="es-CO"/>
              </w:rPr>
            </w:pPr>
            <w:r w:rsidRPr="00E37834">
              <w:rPr>
                <w:rFonts w:ascii="Century Gothic" w:eastAsia="Times New Roman" w:hAnsi="Century Gothic" w:cs="Times New Roman"/>
                <w:b/>
                <w:bCs/>
                <w:color w:val="FFFFFF"/>
                <w:sz w:val="18"/>
                <w:szCs w:val="18"/>
                <w:lang w:eastAsia="es-CO"/>
              </w:rPr>
              <w:t>2016</w:t>
            </w:r>
          </w:p>
        </w:tc>
        <w:tc>
          <w:tcPr>
            <w:tcW w:w="1137" w:type="dxa"/>
            <w:vMerge w:val="restart"/>
            <w:tcBorders>
              <w:top w:val="nil"/>
              <w:left w:val="nil"/>
              <w:bottom w:val="nil"/>
              <w:right w:val="nil"/>
            </w:tcBorders>
            <w:shd w:val="clear" w:color="000000" w:fill="203864"/>
            <w:vAlign w:val="center"/>
            <w:hideMark/>
          </w:tcPr>
          <w:p w:rsidR="00E37834" w:rsidRPr="00E37834" w:rsidRDefault="00E37834" w:rsidP="00E37834">
            <w:pPr>
              <w:spacing w:after="0" w:line="240" w:lineRule="auto"/>
              <w:jc w:val="center"/>
              <w:rPr>
                <w:rFonts w:ascii="Century Gothic" w:eastAsia="Times New Roman" w:hAnsi="Century Gothic" w:cs="Times New Roman"/>
                <w:b/>
                <w:bCs/>
                <w:color w:val="FFFFFF"/>
                <w:sz w:val="18"/>
                <w:szCs w:val="18"/>
                <w:lang w:eastAsia="es-CO"/>
              </w:rPr>
            </w:pPr>
            <w:r w:rsidRPr="00E37834">
              <w:rPr>
                <w:rFonts w:ascii="Century Gothic" w:eastAsia="Times New Roman" w:hAnsi="Century Gothic" w:cs="Times New Roman"/>
                <w:b/>
                <w:bCs/>
                <w:color w:val="FFFFFF"/>
                <w:sz w:val="18"/>
                <w:szCs w:val="18"/>
                <w:lang w:eastAsia="es-CO"/>
              </w:rPr>
              <w:t>2017</w:t>
            </w:r>
          </w:p>
        </w:tc>
        <w:tc>
          <w:tcPr>
            <w:tcW w:w="2884" w:type="dxa"/>
            <w:vMerge w:val="restart"/>
            <w:tcBorders>
              <w:top w:val="nil"/>
              <w:left w:val="nil"/>
              <w:bottom w:val="nil"/>
              <w:right w:val="nil"/>
            </w:tcBorders>
            <w:shd w:val="clear" w:color="000000" w:fill="203864"/>
            <w:vAlign w:val="center"/>
            <w:hideMark/>
          </w:tcPr>
          <w:p w:rsidR="00E37834" w:rsidRPr="00E37834" w:rsidRDefault="00E37834" w:rsidP="00E37834">
            <w:pPr>
              <w:spacing w:after="0" w:line="240" w:lineRule="auto"/>
              <w:jc w:val="center"/>
              <w:rPr>
                <w:rFonts w:ascii="Century Gothic" w:eastAsia="Times New Roman" w:hAnsi="Century Gothic" w:cs="Times New Roman"/>
                <w:b/>
                <w:bCs/>
                <w:color w:val="FFFFFF"/>
                <w:sz w:val="18"/>
                <w:szCs w:val="18"/>
                <w:lang w:eastAsia="es-CO"/>
              </w:rPr>
            </w:pPr>
            <w:r w:rsidRPr="00E37834">
              <w:rPr>
                <w:rFonts w:ascii="Century Gothic" w:eastAsia="Times New Roman" w:hAnsi="Century Gothic" w:cs="Times New Roman"/>
                <w:b/>
                <w:bCs/>
                <w:color w:val="FFFFFF"/>
                <w:sz w:val="18"/>
                <w:szCs w:val="18"/>
                <w:lang w:eastAsia="es-CO"/>
              </w:rPr>
              <w:t>2018*</w:t>
            </w:r>
          </w:p>
        </w:tc>
      </w:tr>
      <w:tr w:rsidR="00E37834" w:rsidRPr="00E37834" w:rsidTr="00E37834">
        <w:trPr>
          <w:trHeight w:val="300"/>
        </w:trPr>
        <w:tc>
          <w:tcPr>
            <w:tcW w:w="3608" w:type="dxa"/>
            <w:vMerge/>
            <w:tcBorders>
              <w:top w:val="nil"/>
              <w:left w:val="nil"/>
              <w:bottom w:val="nil"/>
              <w:right w:val="nil"/>
            </w:tcBorders>
            <w:vAlign w:val="center"/>
            <w:hideMark/>
          </w:tcPr>
          <w:p w:rsidR="00E37834" w:rsidRPr="00E37834" w:rsidRDefault="00E37834" w:rsidP="00E37834">
            <w:pPr>
              <w:spacing w:after="0" w:line="240" w:lineRule="auto"/>
              <w:rPr>
                <w:rFonts w:ascii="Century Gothic" w:eastAsia="Times New Roman" w:hAnsi="Century Gothic" w:cs="Times New Roman"/>
                <w:b/>
                <w:bCs/>
                <w:color w:val="FFFFFF"/>
                <w:sz w:val="18"/>
                <w:szCs w:val="18"/>
                <w:lang w:eastAsia="es-CO"/>
              </w:rPr>
            </w:pPr>
          </w:p>
        </w:tc>
        <w:tc>
          <w:tcPr>
            <w:tcW w:w="1137" w:type="dxa"/>
            <w:vMerge/>
            <w:tcBorders>
              <w:top w:val="nil"/>
              <w:left w:val="nil"/>
              <w:bottom w:val="nil"/>
              <w:right w:val="nil"/>
            </w:tcBorders>
            <w:vAlign w:val="center"/>
            <w:hideMark/>
          </w:tcPr>
          <w:p w:rsidR="00E37834" w:rsidRPr="00E37834" w:rsidRDefault="00E37834" w:rsidP="00E37834">
            <w:pPr>
              <w:spacing w:after="0" w:line="240" w:lineRule="auto"/>
              <w:rPr>
                <w:rFonts w:ascii="Century Gothic" w:eastAsia="Times New Roman" w:hAnsi="Century Gothic" w:cs="Times New Roman"/>
                <w:b/>
                <w:bCs/>
                <w:color w:val="FFFFFF"/>
                <w:sz w:val="18"/>
                <w:szCs w:val="18"/>
                <w:lang w:eastAsia="es-CO"/>
              </w:rPr>
            </w:pPr>
          </w:p>
        </w:tc>
        <w:tc>
          <w:tcPr>
            <w:tcW w:w="1137" w:type="dxa"/>
            <w:vMerge/>
            <w:tcBorders>
              <w:top w:val="nil"/>
              <w:left w:val="nil"/>
              <w:bottom w:val="nil"/>
              <w:right w:val="nil"/>
            </w:tcBorders>
            <w:vAlign w:val="center"/>
            <w:hideMark/>
          </w:tcPr>
          <w:p w:rsidR="00E37834" w:rsidRPr="00E37834" w:rsidRDefault="00E37834" w:rsidP="00E37834">
            <w:pPr>
              <w:spacing w:after="0" w:line="240" w:lineRule="auto"/>
              <w:rPr>
                <w:rFonts w:ascii="Century Gothic" w:eastAsia="Times New Roman" w:hAnsi="Century Gothic" w:cs="Times New Roman"/>
                <w:b/>
                <w:bCs/>
                <w:color w:val="FFFFFF"/>
                <w:sz w:val="18"/>
                <w:szCs w:val="18"/>
                <w:lang w:eastAsia="es-CO"/>
              </w:rPr>
            </w:pPr>
          </w:p>
        </w:tc>
        <w:tc>
          <w:tcPr>
            <w:tcW w:w="2884" w:type="dxa"/>
            <w:vMerge/>
            <w:tcBorders>
              <w:top w:val="nil"/>
              <w:left w:val="nil"/>
              <w:bottom w:val="nil"/>
              <w:right w:val="nil"/>
            </w:tcBorders>
            <w:vAlign w:val="center"/>
            <w:hideMark/>
          </w:tcPr>
          <w:p w:rsidR="00E37834" w:rsidRPr="00E37834" w:rsidRDefault="00E37834" w:rsidP="00E37834">
            <w:pPr>
              <w:spacing w:after="0" w:line="240" w:lineRule="auto"/>
              <w:rPr>
                <w:rFonts w:ascii="Century Gothic" w:eastAsia="Times New Roman" w:hAnsi="Century Gothic" w:cs="Times New Roman"/>
                <w:b/>
                <w:bCs/>
                <w:color w:val="FFFFFF"/>
                <w:sz w:val="18"/>
                <w:szCs w:val="18"/>
                <w:lang w:eastAsia="es-CO"/>
              </w:rPr>
            </w:pPr>
          </w:p>
        </w:tc>
      </w:tr>
      <w:tr w:rsidR="00E37834" w:rsidRPr="00E37834" w:rsidTr="00E37834">
        <w:trPr>
          <w:trHeight w:val="300"/>
        </w:trPr>
        <w:tc>
          <w:tcPr>
            <w:tcW w:w="3608" w:type="dxa"/>
            <w:tcBorders>
              <w:top w:val="nil"/>
              <w:left w:val="nil"/>
              <w:bottom w:val="nil"/>
              <w:right w:val="nil"/>
            </w:tcBorders>
            <w:shd w:val="clear" w:color="000000" w:fill="D8D8D8"/>
            <w:noWrap/>
            <w:vAlign w:val="center"/>
            <w:hideMark/>
          </w:tcPr>
          <w:p w:rsidR="00E37834" w:rsidRPr="00E37834" w:rsidRDefault="00E37834" w:rsidP="00E37834">
            <w:pPr>
              <w:spacing w:after="0" w:line="240" w:lineRule="auto"/>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 xml:space="preserve"> </w:t>
            </w:r>
            <w:r w:rsidR="00414DAF" w:rsidRPr="00E37834">
              <w:rPr>
                <w:rFonts w:ascii="Century Gothic" w:eastAsia="Times New Roman" w:hAnsi="Century Gothic" w:cs="Times New Roman"/>
                <w:sz w:val="18"/>
                <w:szCs w:val="18"/>
                <w:lang w:eastAsia="es-CO"/>
              </w:rPr>
              <w:t>EDUCACIÓN</w:t>
            </w:r>
            <w:r w:rsidRPr="00E37834">
              <w:rPr>
                <w:rFonts w:ascii="Century Gothic" w:eastAsia="Times New Roman" w:hAnsi="Century Gothic" w:cs="Times New Roman"/>
                <w:sz w:val="18"/>
                <w:szCs w:val="18"/>
                <w:lang w:eastAsia="es-CO"/>
              </w:rPr>
              <w:t xml:space="preserve"> </w:t>
            </w:r>
          </w:p>
        </w:tc>
        <w:tc>
          <w:tcPr>
            <w:tcW w:w="1137" w:type="dxa"/>
            <w:tcBorders>
              <w:top w:val="nil"/>
              <w:left w:val="nil"/>
              <w:bottom w:val="nil"/>
              <w:right w:val="nil"/>
            </w:tcBorders>
            <w:shd w:val="clear" w:color="000000" w:fill="D8D8D8"/>
            <w:noWrap/>
            <w:vAlign w:val="center"/>
            <w:hideMark/>
          </w:tcPr>
          <w:p w:rsidR="00E37834" w:rsidRPr="00E37834" w:rsidRDefault="00E37834" w:rsidP="00E37834">
            <w:pPr>
              <w:spacing w:after="0" w:line="240" w:lineRule="auto"/>
              <w:jc w:val="right"/>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31.353</w:t>
            </w:r>
          </w:p>
        </w:tc>
        <w:tc>
          <w:tcPr>
            <w:tcW w:w="1137" w:type="dxa"/>
            <w:tcBorders>
              <w:top w:val="nil"/>
              <w:left w:val="nil"/>
              <w:bottom w:val="nil"/>
              <w:right w:val="nil"/>
            </w:tcBorders>
            <w:shd w:val="clear" w:color="000000" w:fill="D8D8D8"/>
            <w:noWrap/>
            <w:vAlign w:val="center"/>
            <w:hideMark/>
          </w:tcPr>
          <w:p w:rsidR="00E37834" w:rsidRPr="00E37834" w:rsidRDefault="00E37834" w:rsidP="00E37834">
            <w:pPr>
              <w:spacing w:after="0" w:line="240" w:lineRule="auto"/>
              <w:jc w:val="right"/>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35.561</w:t>
            </w:r>
          </w:p>
        </w:tc>
        <w:tc>
          <w:tcPr>
            <w:tcW w:w="2884" w:type="dxa"/>
            <w:tcBorders>
              <w:top w:val="nil"/>
              <w:left w:val="nil"/>
              <w:bottom w:val="nil"/>
              <w:right w:val="nil"/>
            </w:tcBorders>
            <w:shd w:val="clear" w:color="000000" w:fill="D8D8D8"/>
            <w:noWrap/>
            <w:vAlign w:val="center"/>
            <w:hideMark/>
          </w:tcPr>
          <w:p w:rsidR="00E37834" w:rsidRPr="00E37834" w:rsidRDefault="00E37834" w:rsidP="00E37834">
            <w:pPr>
              <w:spacing w:after="0" w:line="240" w:lineRule="auto"/>
              <w:jc w:val="right"/>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38.231</w:t>
            </w:r>
          </w:p>
        </w:tc>
      </w:tr>
      <w:tr w:rsidR="00E37834" w:rsidRPr="00E37834" w:rsidTr="00E37834">
        <w:trPr>
          <w:trHeight w:val="300"/>
        </w:trPr>
        <w:tc>
          <w:tcPr>
            <w:tcW w:w="3608" w:type="dxa"/>
            <w:tcBorders>
              <w:top w:val="nil"/>
              <w:left w:val="nil"/>
              <w:bottom w:val="nil"/>
              <w:right w:val="nil"/>
            </w:tcBorders>
            <w:shd w:val="clear" w:color="000000" w:fill="D8D8D8"/>
            <w:noWrap/>
            <w:vAlign w:val="center"/>
            <w:hideMark/>
          </w:tcPr>
          <w:p w:rsidR="00E37834" w:rsidRPr="00E37834" w:rsidRDefault="00E37834" w:rsidP="00E37834">
            <w:pPr>
              <w:spacing w:after="0" w:line="240" w:lineRule="auto"/>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 xml:space="preserve"> SALUD, </w:t>
            </w:r>
            <w:r w:rsidR="00414DAF" w:rsidRPr="00E37834">
              <w:rPr>
                <w:rFonts w:ascii="Century Gothic" w:eastAsia="Times New Roman" w:hAnsi="Century Gothic" w:cs="Times New Roman"/>
                <w:sz w:val="18"/>
                <w:szCs w:val="18"/>
                <w:lang w:eastAsia="es-CO"/>
              </w:rPr>
              <w:t>PROTECCIÓN</w:t>
            </w:r>
            <w:r w:rsidRPr="00E37834">
              <w:rPr>
                <w:rFonts w:ascii="Century Gothic" w:eastAsia="Times New Roman" w:hAnsi="Century Gothic" w:cs="Times New Roman"/>
                <w:sz w:val="18"/>
                <w:szCs w:val="18"/>
                <w:lang w:eastAsia="es-CO"/>
              </w:rPr>
              <w:t xml:space="preserve"> SOCIAL Y TRABAJO </w:t>
            </w:r>
          </w:p>
        </w:tc>
        <w:tc>
          <w:tcPr>
            <w:tcW w:w="1137" w:type="dxa"/>
            <w:tcBorders>
              <w:top w:val="nil"/>
              <w:left w:val="nil"/>
              <w:bottom w:val="nil"/>
              <w:right w:val="nil"/>
            </w:tcBorders>
            <w:shd w:val="clear" w:color="000000" w:fill="D8D8D8"/>
            <w:noWrap/>
            <w:vAlign w:val="center"/>
            <w:hideMark/>
          </w:tcPr>
          <w:p w:rsidR="00E37834" w:rsidRPr="00E37834" w:rsidRDefault="00E37834" w:rsidP="00E37834">
            <w:pPr>
              <w:spacing w:after="0" w:line="240" w:lineRule="auto"/>
              <w:jc w:val="right"/>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37.946</w:t>
            </w:r>
          </w:p>
        </w:tc>
        <w:tc>
          <w:tcPr>
            <w:tcW w:w="1137" w:type="dxa"/>
            <w:tcBorders>
              <w:top w:val="nil"/>
              <w:left w:val="nil"/>
              <w:bottom w:val="nil"/>
              <w:right w:val="nil"/>
            </w:tcBorders>
            <w:shd w:val="clear" w:color="000000" w:fill="D8D8D8"/>
            <w:noWrap/>
            <w:vAlign w:val="center"/>
            <w:hideMark/>
          </w:tcPr>
          <w:p w:rsidR="00E37834" w:rsidRPr="00E37834" w:rsidRDefault="00E37834" w:rsidP="00E37834">
            <w:pPr>
              <w:spacing w:after="0" w:line="240" w:lineRule="auto"/>
              <w:jc w:val="right"/>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40.425</w:t>
            </w:r>
          </w:p>
        </w:tc>
        <w:tc>
          <w:tcPr>
            <w:tcW w:w="2884" w:type="dxa"/>
            <w:tcBorders>
              <w:top w:val="nil"/>
              <w:left w:val="nil"/>
              <w:bottom w:val="nil"/>
              <w:right w:val="nil"/>
            </w:tcBorders>
            <w:shd w:val="clear" w:color="000000" w:fill="D8D8D8"/>
            <w:noWrap/>
            <w:vAlign w:val="center"/>
            <w:hideMark/>
          </w:tcPr>
          <w:p w:rsidR="00E37834" w:rsidRPr="00E37834" w:rsidRDefault="00E37834" w:rsidP="00E37834">
            <w:pPr>
              <w:spacing w:after="0" w:line="240" w:lineRule="auto"/>
              <w:jc w:val="right"/>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48.571</w:t>
            </w:r>
          </w:p>
        </w:tc>
      </w:tr>
      <w:tr w:rsidR="00E37834" w:rsidRPr="00E37834" w:rsidTr="00E37834">
        <w:trPr>
          <w:trHeight w:val="300"/>
        </w:trPr>
        <w:tc>
          <w:tcPr>
            <w:tcW w:w="3608" w:type="dxa"/>
            <w:tcBorders>
              <w:top w:val="nil"/>
              <w:left w:val="nil"/>
              <w:bottom w:val="nil"/>
              <w:right w:val="nil"/>
            </w:tcBorders>
            <w:shd w:val="clear" w:color="auto" w:fill="auto"/>
            <w:noWrap/>
            <w:vAlign w:val="center"/>
            <w:hideMark/>
          </w:tcPr>
          <w:p w:rsidR="00E37834" w:rsidRPr="00E37834" w:rsidRDefault="00E37834" w:rsidP="00E37834">
            <w:pPr>
              <w:spacing w:after="0" w:line="240" w:lineRule="auto"/>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 xml:space="preserve"> TRANSPORTE </w:t>
            </w:r>
          </w:p>
        </w:tc>
        <w:tc>
          <w:tcPr>
            <w:tcW w:w="1137" w:type="dxa"/>
            <w:tcBorders>
              <w:top w:val="nil"/>
              <w:left w:val="nil"/>
              <w:bottom w:val="nil"/>
              <w:right w:val="nil"/>
            </w:tcBorders>
            <w:shd w:val="clear" w:color="auto" w:fill="auto"/>
            <w:noWrap/>
            <w:vAlign w:val="center"/>
            <w:hideMark/>
          </w:tcPr>
          <w:p w:rsidR="00E37834" w:rsidRPr="00E37834" w:rsidRDefault="00E37834" w:rsidP="00E37834">
            <w:pPr>
              <w:spacing w:after="0" w:line="240" w:lineRule="auto"/>
              <w:jc w:val="right"/>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5.907</w:t>
            </w:r>
          </w:p>
        </w:tc>
        <w:tc>
          <w:tcPr>
            <w:tcW w:w="1137" w:type="dxa"/>
            <w:tcBorders>
              <w:top w:val="nil"/>
              <w:left w:val="nil"/>
              <w:bottom w:val="nil"/>
              <w:right w:val="nil"/>
            </w:tcBorders>
            <w:shd w:val="clear" w:color="auto" w:fill="auto"/>
            <w:noWrap/>
            <w:vAlign w:val="center"/>
            <w:hideMark/>
          </w:tcPr>
          <w:p w:rsidR="00E37834" w:rsidRPr="00E37834" w:rsidRDefault="00E37834" w:rsidP="00E37834">
            <w:pPr>
              <w:spacing w:after="0" w:line="240" w:lineRule="auto"/>
              <w:jc w:val="right"/>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6.429</w:t>
            </w:r>
          </w:p>
        </w:tc>
        <w:tc>
          <w:tcPr>
            <w:tcW w:w="2884" w:type="dxa"/>
            <w:tcBorders>
              <w:top w:val="nil"/>
              <w:left w:val="nil"/>
              <w:bottom w:val="nil"/>
              <w:right w:val="nil"/>
            </w:tcBorders>
            <w:shd w:val="clear" w:color="auto" w:fill="auto"/>
            <w:noWrap/>
            <w:vAlign w:val="center"/>
            <w:hideMark/>
          </w:tcPr>
          <w:p w:rsidR="00E37834" w:rsidRPr="00E37834" w:rsidRDefault="00E37834" w:rsidP="00E37834">
            <w:pPr>
              <w:spacing w:after="0" w:line="240" w:lineRule="auto"/>
              <w:jc w:val="right"/>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5.337</w:t>
            </w:r>
          </w:p>
        </w:tc>
      </w:tr>
      <w:tr w:rsidR="00E37834" w:rsidRPr="00E37834" w:rsidTr="00E37834">
        <w:trPr>
          <w:trHeight w:val="300"/>
        </w:trPr>
        <w:tc>
          <w:tcPr>
            <w:tcW w:w="3608" w:type="dxa"/>
            <w:tcBorders>
              <w:top w:val="nil"/>
              <w:left w:val="nil"/>
              <w:bottom w:val="single" w:sz="4" w:space="0" w:color="D9E2F3"/>
              <w:right w:val="nil"/>
            </w:tcBorders>
            <w:shd w:val="clear" w:color="000000" w:fill="203864"/>
            <w:noWrap/>
            <w:vAlign w:val="center"/>
            <w:hideMark/>
          </w:tcPr>
          <w:p w:rsidR="00E37834" w:rsidRPr="00E37834" w:rsidRDefault="00E37834" w:rsidP="00E37834">
            <w:pPr>
              <w:spacing w:after="0" w:line="240" w:lineRule="auto"/>
              <w:rPr>
                <w:rFonts w:ascii="Century Gothic" w:eastAsia="Times New Roman" w:hAnsi="Century Gothic" w:cs="Times New Roman"/>
                <w:b/>
                <w:bCs/>
                <w:color w:val="FFFFFF"/>
                <w:sz w:val="18"/>
                <w:szCs w:val="18"/>
                <w:lang w:eastAsia="es-CO"/>
              </w:rPr>
            </w:pPr>
            <w:r w:rsidRPr="00E37834">
              <w:rPr>
                <w:rFonts w:ascii="Century Gothic" w:eastAsia="Times New Roman" w:hAnsi="Century Gothic" w:cs="Times New Roman"/>
                <w:b/>
                <w:bCs/>
                <w:color w:val="FFFFFF"/>
                <w:sz w:val="18"/>
                <w:szCs w:val="18"/>
                <w:lang w:eastAsia="es-CO"/>
              </w:rPr>
              <w:t>TOTAL SIN DEUDA</w:t>
            </w:r>
          </w:p>
        </w:tc>
        <w:tc>
          <w:tcPr>
            <w:tcW w:w="1137" w:type="dxa"/>
            <w:tcBorders>
              <w:top w:val="nil"/>
              <w:left w:val="nil"/>
              <w:bottom w:val="single" w:sz="4" w:space="0" w:color="D9E2F3"/>
              <w:right w:val="nil"/>
            </w:tcBorders>
            <w:shd w:val="clear" w:color="000000" w:fill="203864"/>
            <w:noWrap/>
            <w:vAlign w:val="center"/>
            <w:hideMark/>
          </w:tcPr>
          <w:p w:rsidR="00E37834" w:rsidRPr="00E37834" w:rsidRDefault="00E37834" w:rsidP="00E37834">
            <w:pPr>
              <w:spacing w:after="0" w:line="240" w:lineRule="auto"/>
              <w:jc w:val="right"/>
              <w:rPr>
                <w:rFonts w:ascii="Century Gothic" w:eastAsia="Times New Roman" w:hAnsi="Century Gothic" w:cs="Times New Roman"/>
                <w:b/>
                <w:bCs/>
                <w:color w:val="FFFFFF"/>
                <w:sz w:val="18"/>
                <w:szCs w:val="18"/>
                <w:lang w:eastAsia="es-CO"/>
              </w:rPr>
            </w:pPr>
            <w:r w:rsidRPr="00E37834">
              <w:rPr>
                <w:rFonts w:ascii="Century Gothic" w:eastAsia="Times New Roman" w:hAnsi="Century Gothic" w:cs="Times New Roman"/>
                <w:b/>
                <w:bCs/>
                <w:color w:val="FFFFFF"/>
                <w:sz w:val="18"/>
                <w:szCs w:val="18"/>
                <w:lang w:eastAsia="es-CO"/>
              </w:rPr>
              <w:t xml:space="preserve">         161.228 </w:t>
            </w:r>
          </w:p>
        </w:tc>
        <w:tc>
          <w:tcPr>
            <w:tcW w:w="1137" w:type="dxa"/>
            <w:tcBorders>
              <w:top w:val="nil"/>
              <w:left w:val="nil"/>
              <w:bottom w:val="single" w:sz="4" w:space="0" w:color="D9E2F3"/>
              <w:right w:val="nil"/>
            </w:tcBorders>
            <w:shd w:val="clear" w:color="000000" w:fill="203864"/>
            <w:noWrap/>
            <w:vAlign w:val="center"/>
            <w:hideMark/>
          </w:tcPr>
          <w:p w:rsidR="00E37834" w:rsidRPr="00E37834" w:rsidRDefault="00E37834" w:rsidP="00E37834">
            <w:pPr>
              <w:spacing w:after="0" w:line="240" w:lineRule="auto"/>
              <w:jc w:val="right"/>
              <w:rPr>
                <w:rFonts w:ascii="Century Gothic" w:eastAsia="Times New Roman" w:hAnsi="Century Gothic" w:cs="Times New Roman"/>
                <w:b/>
                <w:bCs/>
                <w:color w:val="FFFFFF"/>
                <w:sz w:val="18"/>
                <w:szCs w:val="18"/>
                <w:lang w:eastAsia="es-CO"/>
              </w:rPr>
            </w:pPr>
            <w:r w:rsidRPr="00E37834">
              <w:rPr>
                <w:rFonts w:ascii="Century Gothic" w:eastAsia="Times New Roman" w:hAnsi="Century Gothic" w:cs="Times New Roman"/>
                <w:b/>
                <w:bCs/>
                <w:color w:val="FFFFFF"/>
                <w:sz w:val="18"/>
                <w:szCs w:val="18"/>
                <w:lang w:eastAsia="es-CO"/>
              </w:rPr>
              <w:t xml:space="preserve">         177.328 </w:t>
            </w:r>
          </w:p>
        </w:tc>
        <w:tc>
          <w:tcPr>
            <w:tcW w:w="2884" w:type="dxa"/>
            <w:tcBorders>
              <w:top w:val="nil"/>
              <w:left w:val="nil"/>
              <w:bottom w:val="single" w:sz="4" w:space="0" w:color="D9E2F3"/>
              <w:right w:val="nil"/>
            </w:tcBorders>
            <w:shd w:val="clear" w:color="000000" w:fill="203864"/>
            <w:noWrap/>
            <w:vAlign w:val="center"/>
            <w:hideMark/>
          </w:tcPr>
          <w:p w:rsidR="00E37834" w:rsidRPr="00E37834" w:rsidRDefault="00E37834" w:rsidP="00E37834">
            <w:pPr>
              <w:spacing w:after="0" w:line="240" w:lineRule="auto"/>
              <w:jc w:val="right"/>
              <w:rPr>
                <w:rFonts w:ascii="Century Gothic" w:eastAsia="Times New Roman" w:hAnsi="Century Gothic" w:cs="Times New Roman"/>
                <w:b/>
                <w:bCs/>
                <w:color w:val="FFFFFF"/>
                <w:sz w:val="18"/>
                <w:szCs w:val="18"/>
                <w:lang w:eastAsia="es-CO"/>
              </w:rPr>
            </w:pPr>
            <w:r w:rsidRPr="00E37834">
              <w:rPr>
                <w:rFonts w:ascii="Century Gothic" w:eastAsia="Times New Roman" w:hAnsi="Century Gothic" w:cs="Times New Roman"/>
                <w:b/>
                <w:bCs/>
                <w:color w:val="FFFFFF"/>
                <w:sz w:val="18"/>
                <w:szCs w:val="18"/>
                <w:lang w:eastAsia="es-CO"/>
              </w:rPr>
              <w:t xml:space="preserve">         180.025 </w:t>
            </w:r>
          </w:p>
        </w:tc>
      </w:tr>
      <w:tr w:rsidR="00E37834" w:rsidRPr="00E37834" w:rsidTr="00E37834">
        <w:trPr>
          <w:trHeight w:val="300"/>
        </w:trPr>
        <w:tc>
          <w:tcPr>
            <w:tcW w:w="3608" w:type="dxa"/>
            <w:tcBorders>
              <w:top w:val="nil"/>
              <w:left w:val="nil"/>
              <w:bottom w:val="nil"/>
              <w:right w:val="nil"/>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p>
        </w:tc>
        <w:tc>
          <w:tcPr>
            <w:tcW w:w="1137" w:type="dxa"/>
            <w:tcBorders>
              <w:top w:val="nil"/>
              <w:left w:val="nil"/>
              <w:bottom w:val="nil"/>
              <w:right w:val="nil"/>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p>
        </w:tc>
        <w:tc>
          <w:tcPr>
            <w:tcW w:w="1137" w:type="dxa"/>
            <w:tcBorders>
              <w:top w:val="nil"/>
              <w:left w:val="nil"/>
              <w:bottom w:val="nil"/>
              <w:right w:val="nil"/>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p>
        </w:tc>
        <w:tc>
          <w:tcPr>
            <w:tcW w:w="2884" w:type="dxa"/>
            <w:tcBorders>
              <w:top w:val="nil"/>
              <w:left w:val="nil"/>
              <w:bottom w:val="nil"/>
              <w:right w:val="nil"/>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p>
        </w:tc>
      </w:tr>
      <w:tr w:rsidR="00E37834" w:rsidRPr="00E37834" w:rsidTr="00E37834">
        <w:trPr>
          <w:trHeight w:val="300"/>
        </w:trPr>
        <w:tc>
          <w:tcPr>
            <w:tcW w:w="3608" w:type="dxa"/>
            <w:tcBorders>
              <w:top w:val="nil"/>
              <w:left w:val="nil"/>
              <w:bottom w:val="nil"/>
              <w:right w:val="nil"/>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p>
        </w:tc>
        <w:tc>
          <w:tcPr>
            <w:tcW w:w="1137" w:type="dxa"/>
            <w:tcBorders>
              <w:top w:val="nil"/>
              <w:left w:val="nil"/>
              <w:bottom w:val="nil"/>
              <w:right w:val="nil"/>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p>
        </w:tc>
        <w:tc>
          <w:tcPr>
            <w:tcW w:w="1137" w:type="dxa"/>
            <w:tcBorders>
              <w:top w:val="nil"/>
              <w:left w:val="nil"/>
              <w:bottom w:val="nil"/>
              <w:right w:val="nil"/>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p>
        </w:tc>
        <w:tc>
          <w:tcPr>
            <w:tcW w:w="2884" w:type="dxa"/>
            <w:tcBorders>
              <w:top w:val="nil"/>
              <w:left w:val="nil"/>
              <w:bottom w:val="nil"/>
              <w:right w:val="nil"/>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p>
        </w:tc>
      </w:tr>
      <w:tr w:rsidR="00E37834" w:rsidRPr="00E37834" w:rsidTr="00E37834">
        <w:trPr>
          <w:trHeight w:val="300"/>
        </w:trPr>
        <w:tc>
          <w:tcPr>
            <w:tcW w:w="3608" w:type="dxa"/>
            <w:vMerge w:val="restart"/>
            <w:tcBorders>
              <w:top w:val="nil"/>
              <w:left w:val="nil"/>
              <w:bottom w:val="nil"/>
              <w:right w:val="nil"/>
            </w:tcBorders>
            <w:shd w:val="clear" w:color="000000" w:fill="203864"/>
            <w:vAlign w:val="center"/>
            <w:hideMark/>
          </w:tcPr>
          <w:p w:rsidR="00E37834" w:rsidRPr="00E37834" w:rsidRDefault="00E37834" w:rsidP="00E37834">
            <w:pPr>
              <w:spacing w:after="0" w:line="240" w:lineRule="auto"/>
              <w:ind w:firstLineChars="100" w:firstLine="181"/>
              <w:rPr>
                <w:rFonts w:ascii="Century Gothic" w:eastAsia="Times New Roman" w:hAnsi="Century Gothic" w:cs="Times New Roman"/>
                <w:b/>
                <w:bCs/>
                <w:color w:val="FFFFFF"/>
                <w:sz w:val="18"/>
                <w:szCs w:val="18"/>
                <w:lang w:eastAsia="es-CO"/>
              </w:rPr>
            </w:pPr>
            <w:r w:rsidRPr="00E37834">
              <w:rPr>
                <w:rFonts w:ascii="Century Gothic" w:eastAsia="Times New Roman" w:hAnsi="Century Gothic" w:cs="Times New Roman"/>
                <w:b/>
                <w:bCs/>
                <w:color w:val="FFFFFF"/>
                <w:sz w:val="18"/>
                <w:szCs w:val="18"/>
                <w:lang w:eastAsia="es-CO"/>
              </w:rPr>
              <w:t>Sector</w:t>
            </w:r>
          </w:p>
        </w:tc>
        <w:tc>
          <w:tcPr>
            <w:tcW w:w="1137" w:type="dxa"/>
            <w:vMerge w:val="restart"/>
            <w:tcBorders>
              <w:top w:val="nil"/>
              <w:left w:val="nil"/>
              <w:bottom w:val="nil"/>
              <w:right w:val="nil"/>
            </w:tcBorders>
            <w:shd w:val="clear" w:color="000000" w:fill="203864"/>
            <w:vAlign w:val="center"/>
            <w:hideMark/>
          </w:tcPr>
          <w:p w:rsidR="00E37834" w:rsidRPr="00E37834" w:rsidRDefault="00E37834" w:rsidP="00E37834">
            <w:pPr>
              <w:spacing w:after="0" w:line="240" w:lineRule="auto"/>
              <w:jc w:val="center"/>
              <w:rPr>
                <w:rFonts w:ascii="Century Gothic" w:eastAsia="Times New Roman" w:hAnsi="Century Gothic" w:cs="Times New Roman"/>
                <w:b/>
                <w:bCs/>
                <w:color w:val="FFFFFF"/>
                <w:sz w:val="18"/>
                <w:szCs w:val="18"/>
                <w:lang w:eastAsia="es-CO"/>
              </w:rPr>
            </w:pPr>
            <w:r w:rsidRPr="00E37834">
              <w:rPr>
                <w:rFonts w:ascii="Century Gothic" w:eastAsia="Times New Roman" w:hAnsi="Century Gothic" w:cs="Times New Roman"/>
                <w:b/>
                <w:bCs/>
                <w:color w:val="FFFFFF"/>
                <w:sz w:val="18"/>
                <w:szCs w:val="18"/>
                <w:lang w:eastAsia="es-CO"/>
              </w:rPr>
              <w:t>2016</w:t>
            </w:r>
          </w:p>
        </w:tc>
        <w:tc>
          <w:tcPr>
            <w:tcW w:w="1137" w:type="dxa"/>
            <w:vMerge w:val="restart"/>
            <w:tcBorders>
              <w:top w:val="nil"/>
              <w:left w:val="nil"/>
              <w:bottom w:val="nil"/>
              <w:right w:val="nil"/>
            </w:tcBorders>
            <w:shd w:val="clear" w:color="000000" w:fill="203864"/>
            <w:vAlign w:val="center"/>
            <w:hideMark/>
          </w:tcPr>
          <w:p w:rsidR="00E37834" w:rsidRPr="00E37834" w:rsidRDefault="00E37834" w:rsidP="00E37834">
            <w:pPr>
              <w:spacing w:after="0" w:line="240" w:lineRule="auto"/>
              <w:jc w:val="center"/>
              <w:rPr>
                <w:rFonts w:ascii="Century Gothic" w:eastAsia="Times New Roman" w:hAnsi="Century Gothic" w:cs="Times New Roman"/>
                <w:b/>
                <w:bCs/>
                <w:color w:val="FFFFFF"/>
                <w:sz w:val="18"/>
                <w:szCs w:val="18"/>
                <w:lang w:eastAsia="es-CO"/>
              </w:rPr>
            </w:pPr>
            <w:r w:rsidRPr="00E37834">
              <w:rPr>
                <w:rFonts w:ascii="Century Gothic" w:eastAsia="Times New Roman" w:hAnsi="Century Gothic" w:cs="Times New Roman"/>
                <w:b/>
                <w:bCs/>
                <w:color w:val="FFFFFF"/>
                <w:sz w:val="18"/>
                <w:szCs w:val="18"/>
                <w:lang w:eastAsia="es-CO"/>
              </w:rPr>
              <w:t>2017</w:t>
            </w:r>
          </w:p>
        </w:tc>
        <w:tc>
          <w:tcPr>
            <w:tcW w:w="2884" w:type="dxa"/>
            <w:vMerge w:val="restart"/>
            <w:tcBorders>
              <w:top w:val="nil"/>
              <w:left w:val="nil"/>
              <w:bottom w:val="nil"/>
              <w:right w:val="nil"/>
            </w:tcBorders>
            <w:shd w:val="clear" w:color="000000" w:fill="203864"/>
            <w:vAlign w:val="center"/>
            <w:hideMark/>
          </w:tcPr>
          <w:p w:rsidR="00E37834" w:rsidRPr="00E37834" w:rsidRDefault="00E37834" w:rsidP="00E37834">
            <w:pPr>
              <w:spacing w:after="0" w:line="240" w:lineRule="auto"/>
              <w:jc w:val="center"/>
              <w:rPr>
                <w:rFonts w:ascii="Century Gothic" w:eastAsia="Times New Roman" w:hAnsi="Century Gothic" w:cs="Times New Roman"/>
                <w:b/>
                <w:bCs/>
                <w:color w:val="FFFFFF"/>
                <w:sz w:val="18"/>
                <w:szCs w:val="18"/>
                <w:lang w:eastAsia="es-CO"/>
              </w:rPr>
            </w:pPr>
            <w:r w:rsidRPr="00E37834">
              <w:rPr>
                <w:rFonts w:ascii="Century Gothic" w:eastAsia="Times New Roman" w:hAnsi="Century Gothic" w:cs="Times New Roman"/>
                <w:b/>
                <w:bCs/>
                <w:color w:val="FFFFFF"/>
                <w:sz w:val="18"/>
                <w:szCs w:val="18"/>
                <w:lang w:eastAsia="es-CO"/>
              </w:rPr>
              <w:t>2018*</w:t>
            </w:r>
          </w:p>
        </w:tc>
      </w:tr>
      <w:tr w:rsidR="00E37834" w:rsidRPr="00E37834" w:rsidTr="00E37834">
        <w:trPr>
          <w:trHeight w:val="300"/>
        </w:trPr>
        <w:tc>
          <w:tcPr>
            <w:tcW w:w="3608" w:type="dxa"/>
            <w:vMerge/>
            <w:tcBorders>
              <w:top w:val="nil"/>
              <w:left w:val="nil"/>
              <w:bottom w:val="nil"/>
              <w:right w:val="nil"/>
            </w:tcBorders>
            <w:vAlign w:val="center"/>
            <w:hideMark/>
          </w:tcPr>
          <w:p w:rsidR="00E37834" w:rsidRPr="00E37834" w:rsidRDefault="00E37834" w:rsidP="00E37834">
            <w:pPr>
              <w:spacing w:after="0" w:line="240" w:lineRule="auto"/>
              <w:rPr>
                <w:rFonts w:ascii="Century Gothic" w:eastAsia="Times New Roman" w:hAnsi="Century Gothic" w:cs="Times New Roman"/>
                <w:b/>
                <w:bCs/>
                <w:color w:val="FFFFFF"/>
                <w:sz w:val="18"/>
                <w:szCs w:val="18"/>
                <w:lang w:eastAsia="es-CO"/>
              </w:rPr>
            </w:pPr>
          </w:p>
        </w:tc>
        <w:tc>
          <w:tcPr>
            <w:tcW w:w="1137" w:type="dxa"/>
            <w:vMerge/>
            <w:tcBorders>
              <w:top w:val="nil"/>
              <w:left w:val="nil"/>
              <w:bottom w:val="nil"/>
              <w:right w:val="nil"/>
            </w:tcBorders>
            <w:vAlign w:val="center"/>
            <w:hideMark/>
          </w:tcPr>
          <w:p w:rsidR="00E37834" w:rsidRPr="00E37834" w:rsidRDefault="00E37834" w:rsidP="00E37834">
            <w:pPr>
              <w:spacing w:after="0" w:line="240" w:lineRule="auto"/>
              <w:rPr>
                <w:rFonts w:ascii="Century Gothic" w:eastAsia="Times New Roman" w:hAnsi="Century Gothic" w:cs="Times New Roman"/>
                <w:b/>
                <w:bCs/>
                <w:color w:val="FFFFFF"/>
                <w:sz w:val="18"/>
                <w:szCs w:val="18"/>
                <w:lang w:eastAsia="es-CO"/>
              </w:rPr>
            </w:pPr>
          </w:p>
        </w:tc>
        <w:tc>
          <w:tcPr>
            <w:tcW w:w="1137" w:type="dxa"/>
            <w:vMerge/>
            <w:tcBorders>
              <w:top w:val="nil"/>
              <w:left w:val="nil"/>
              <w:bottom w:val="nil"/>
              <w:right w:val="nil"/>
            </w:tcBorders>
            <w:vAlign w:val="center"/>
            <w:hideMark/>
          </w:tcPr>
          <w:p w:rsidR="00E37834" w:rsidRPr="00E37834" w:rsidRDefault="00E37834" w:rsidP="00E37834">
            <w:pPr>
              <w:spacing w:after="0" w:line="240" w:lineRule="auto"/>
              <w:rPr>
                <w:rFonts w:ascii="Century Gothic" w:eastAsia="Times New Roman" w:hAnsi="Century Gothic" w:cs="Times New Roman"/>
                <w:b/>
                <w:bCs/>
                <w:color w:val="FFFFFF"/>
                <w:sz w:val="18"/>
                <w:szCs w:val="18"/>
                <w:lang w:eastAsia="es-CO"/>
              </w:rPr>
            </w:pPr>
          </w:p>
        </w:tc>
        <w:tc>
          <w:tcPr>
            <w:tcW w:w="2884" w:type="dxa"/>
            <w:vMerge/>
            <w:tcBorders>
              <w:top w:val="nil"/>
              <w:left w:val="nil"/>
              <w:bottom w:val="nil"/>
              <w:right w:val="nil"/>
            </w:tcBorders>
            <w:vAlign w:val="center"/>
            <w:hideMark/>
          </w:tcPr>
          <w:p w:rsidR="00E37834" w:rsidRPr="00E37834" w:rsidRDefault="00E37834" w:rsidP="00E37834">
            <w:pPr>
              <w:spacing w:after="0" w:line="240" w:lineRule="auto"/>
              <w:rPr>
                <w:rFonts w:ascii="Century Gothic" w:eastAsia="Times New Roman" w:hAnsi="Century Gothic" w:cs="Times New Roman"/>
                <w:b/>
                <w:bCs/>
                <w:color w:val="FFFFFF"/>
                <w:sz w:val="18"/>
                <w:szCs w:val="18"/>
                <w:lang w:eastAsia="es-CO"/>
              </w:rPr>
            </w:pPr>
          </w:p>
        </w:tc>
      </w:tr>
      <w:tr w:rsidR="00E37834" w:rsidRPr="00E37834" w:rsidTr="00E37834">
        <w:trPr>
          <w:trHeight w:val="300"/>
        </w:trPr>
        <w:tc>
          <w:tcPr>
            <w:tcW w:w="3608" w:type="dxa"/>
            <w:tcBorders>
              <w:top w:val="nil"/>
              <w:left w:val="nil"/>
              <w:bottom w:val="nil"/>
              <w:right w:val="nil"/>
            </w:tcBorders>
            <w:shd w:val="clear" w:color="000000" w:fill="D8D8D8"/>
            <w:noWrap/>
            <w:vAlign w:val="center"/>
            <w:hideMark/>
          </w:tcPr>
          <w:p w:rsidR="00E37834" w:rsidRPr="00E37834" w:rsidRDefault="00E37834" w:rsidP="00E37834">
            <w:pPr>
              <w:spacing w:after="0" w:line="240" w:lineRule="auto"/>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 xml:space="preserve"> </w:t>
            </w:r>
            <w:r w:rsidR="00414DAF" w:rsidRPr="00E37834">
              <w:rPr>
                <w:rFonts w:ascii="Century Gothic" w:eastAsia="Times New Roman" w:hAnsi="Century Gothic" w:cs="Times New Roman"/>
                <w:sz w:val="18"/>
                <w:szCs w:val="18"/>
                <w:lang w:eastAsia="es-CO"/>
              </w:rPr>
              <w:t>EDUCACIÓN</w:t>
            </w:r>
            <w:r w:rsidRPr="00E37834">
              <w:rPr>
                <w:rFonts w:ascii="Century Gothic" w:eastAsia="Times New Roman" w:hAnsi="Century Gothic" w:cs="Times New Roman"/>
                <w:sz w:val="18"/>
                <w:szCs w:val="18"/>
                <w:lang w:eastAsia="es-CO"/>
              </w:rPr>
              <w:t xml:space="preserve"> </w:t>
            </w:r>
          </w:p>
        </w:tc>
        <w:tc>
          <w:tcPr>
            <w:tcW w:w="1137" w:type="dxa"/>
            <w:tcBorders>
              <w:top w:val="nil"/>
              <w:left w:val="nil"/>
              <w:bottom w:val="nil"/>
              <w:right w:val="nil"/>
            </w:tcBorders>
            <w:shd w:val="clear" w:color="000000" w:fill="D8D8D8"/>
            <w:noWrap/>
            <w:vAlign w:val="center"/>
            <w:hideMark/>
          </w:tcPr>
          <w:p w:rsidR="00E37834" w:rsidRPr="00E37834" w:rsidRDefault="00E37834" w:rsidP="00E37834">
            <w:pPr>
              <w:spacing w:after="0" w:line="240" w:lineRule="auto"/>
              <w:jc w:val="right"/>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19%</w:t>
            </w:r>
          </w:p>
        </w:tc>
        <w:tc>
          <w:tcPr>
            <w:tcW w:w="1137" w:type="dxa"/>
            <w:tcBorders>
              <w:top w:val="nil"/>
              <w:left w:val="nil"/>
              <w:bottom w:val="nil"/>
              <w:right w:val="nil"/>
            </w:tcBorders>
            <w:shd w:val="clear" w:color="000000" w:fill="D8D8D8"/>
            <w:noWrap/>
            <w:vAlign w:val="center"/>
            <w:hideMark/>
          </w:tcPr>
          <w:p w:rsidR="00E37834" w:rsidRPr="00E37834" w:rsidRDefault="00E37834" w:rsidP="00E37834">
            <w:pPr>
              <w:spacing w:after="0" w:line="240" w:lineRule="auto"/>
              <w:jc w:val="right"/>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20%</w:t>
            </w:r>
          </w:p>
        </w:tc>
        <w:tc>
          <w:tcPr>
            <w:tcW w:w="2884" w:type="dxa"/>
            <w:tcBorders>
              <w:top w:val="nil"/>
              <w:left w:val="nil"/>
              <w:bottom w:val="nil"/>
              <w:right w:val="nil"/>
            </w:tcBorders>
            <w:shd w:val="clear" w:color="000000" w:fill="D8D8D8"/>
            <w:noWrap/>
            <w:vAlign w:val="center"/>
            <w:hideMark/>
          </w:tcPr>
          <w:p w:rsidR="00E37834" w:rsidRPr="00E37834" w:rsidRDefault="00E37834" w:rsidP="00E37834">
            <w:pPr>
              <w:spacing w:after="0" w:line="240" w:lineRule="auto"/>
              <w:jc w:val="right"/>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21%</w:t>
            </w:r>
          </w:p>
        </w:tc>
      </w:tr>
      <w:tr w:rsidR="00E37834" w:rsidRPr="00E37834" w:rsidTr="00E37834">
        <w:trPr>
          <w:trHeight w:val="300"/>
        </w:trPr>
        <w:tc>
          <w:tcPr>
            <w:tcW w:w="3608" w:type="dxa"/>
            <w:tcBorders>
              <w:top w:val="nil"/>
              <w:left w:val="nil"/>
              <w:bottom w:val="nil"/>
              <w:right w:val="nil"/>
            </w:tcBorders>
            <w:shd w:val="clear" w:color="000000" w:fill="D8D8D8"/>
            <w:noWrap/>
            <w:vAlign w:val="center"/>
            <w:hideMark/>
          </w:tcPr>
          <w:p w:rsidR="00E37834" w:rsidRPr="00E37834" w:rsidRDefault="00E37834" w:rsidP="00E37834">
            <w:pPr>
              <w:spacing w:after="0" w:line="240" w:lineRule="auto"/>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 xml:space="preserve"> SALUD, </w:t>
            </w:r>
            <w:r w:rsidR="00414DAF" w:rsidRPr="00E37834">
              <w:rPr>
                <w:rFonts w:ascii="Century Gothic" w:eastAsia="Times New Roman" w:hAnsi="Century Gothic" w:cs="Times New Roman"/>
                <w:sz w:val="18"/>
                <w:szCs w:val="18"/>
                <w:lang w:eastAsia="es-CO"/>
              </w:rPr>
              <w:t>PROTECCIÓN</w:t>
            </w:r>
            <w:r w:rsidRPr="00E37834">
              <w:rPr>
                <w:rFonts w:ascii="Century Gothic" w:eastAsia="Times New Roman" w:hAnsi="Century Gothic" w:cs="Times New Roman"/>
                <w:sz w:val="18"/>
                <w:szCs w:val="18"/>
                <w:lang w:eastAsia="es-CO"/>
              </w:rPr>
              <w:t xml:space="preserve"> SOCIAL Y TRABAJO </w:t>
            </w:r>
          </w:p>
        </w:tc>
        <w:tc>
          <w:tcPr>
            <w:tcW w:w="1137" w:type="dxa"/>
            <w:tcBorders>
              <w:top w:val="nil"/>
              <w:left w:val="nil"/>
              <w:bottom w:val="nil"/>
              <w:right w:val="nil"/>
            </w:tcBorders>
            <w:shd w:val="clear" w:color="000000" w:fill="D8D8D8"/>
            <w:noWrap/>
            <w:vAlign w:val="center"/>
            <w:hideMark/>
          </w:tcPr>
          <w:p w:rsidR="00E37834" w:rsidRPr="00E37834" w:rsidRDefault="00E37834" w:rsidP="00E37834">
            <w:pPr>
              <w:spacing w:after="0" w:line="240" w:lineRule="auto"/>
              <w:jc w:val="right"/>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24%</w:t>
            </w:r>
          </w:p>
        </w:tc>
        <w:tc>
          <w:tcPr>
            <w:tcW w:w="1137" w:type="dxa"/>
            <w:tcBorders>
              <w:top w:val="nil"/>
              <w:left w:val="nil"/>
              <w:bottom w:val="nil"/>
              <w:right w:val="nil"/>
            </w:tcBorders>
            <w:shd w:val="clear" w:color="000000" w:fill="D8D8D8"/>
            <w:noWrap/>
            <w:vAlign w:val="center"/>
            <w:hideMark/>
          </w:tcPr>
          <w:p w:rsidR="00E37834" w:rsidRPr="00E37834" w:rsidRDefault="00E37834" w:rsidP="00E37834">
            <w:pPr>
              <w:spacing w:after="0" w:line="240" w:lineRule="auto"/>
              <w:jc w:val="right"/>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23%</w:t>
            </w:r>
          </w:p>
        </w:tc>
        <w:tc>
          <w:tcPr>
            <w:tcW w:w="2884" w:type="dxa"/>
            <w:tcBorders>
              <w:top w:val="nil"/>
              <w:left w:val="nil"/>
              <w:bottom w:val="nil"/>
              <w:right w:val="nil"/>
            </w:tcBorders>
            <w:shd w:val="clear" w:color="000000" w:fill="D8D8D8"/>
            <w:noWrap/>
            <w:vAlign w:val="center"/>
            <w:hideMark/>
          </w:tcPr>
          <w:p w:rsidR="00E37834" w:rsidRPr="00E37834" w:rsidRDefault="00E37834" w:rsidP="00E37834">
            <w:pPr>
              <w:spacing w:after="0" w:line="240" w:lineRule="auto"/>
              <w:jc w:val="right"/>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27%</w:t>
            </w:r>
          </w:p>
        </w:tc>
      </w:tr>
      <w:tr w:rsidR="00E37834" w:rsidRPr="00E37834" w:rsidTr="00E37834">
        <w:trPr>
          <w:trHeight w:val="300"/>
        </w:trPr>
        <w:tc>
          <w:tcPr>
            <w:tcW w:w="3608" w:type="dxa"/>
            <w:tcBorders>
              <w:top w:val="nil"/>
              <w:left w:val="nil"/>
              <w:bottom w:val="nil"/>
              <w:right w:val="nil"/>
            </w:tcBorders>
            <w:shd w:val="clear" w:color="auto" w:fill="auto"/>
            <w:noWrap/>
            <w:vAlign w:val="center"/>
            <w:hideMark/>
          </w:tcPr>
          <w:p w:rsidR="00E37834" w:rsidRPr="00E37834" w:rsidRDefault="00E37834" w:rsidP="00E37834">
            <w:pPr>
              <w:spacing w:after="0" w:line="240" w:lineRule="auto"/>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 xml:space="preserve"> TRANSPORTE </w:t>
            </w:r>
          </w:p>
        </w:tc>
        <w:tc>
          <w:tcPr>
            <w:tcW w:w="1137" w:type="dxa"/>
            <w:tcBorders>
              <w:top w:val="nil"/>
              <w:left w:val="nil"/>
              <w:bottom w:val="nil"/>
              <w:right w:val="nil"/>
            </w:tcBorders>
            <w:shd w:val="clear" w:color="000000" w:fill="D8D8D8"/>
            <w:noWrap/>
            <w:vAlign w:val="center"/>
            <w:hideMark/>
          </w:tcPr>
          <w:p w:rsidR="00E37834" w:rsidRPr="00E37834" w:rsidRDefault="00E37834" w:rsidP="00E37834">
            <w:pPr>
              <w:spacing w:after="0" w:line="240" w:lineRule="auto"/>
              <w:jc w:val="right"/>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4%</w:t>
            </w:r>
          </w:p>
        </w:tc>
        <w:tc>
          <w:tcPr>
            <w:tcW w:w="1137" w:type="dxa"/>
            <w:tcBorders>
              <w:top w:val="nil"/>
              <w:left w:val="nil"/>
              <w:bottom w:val="nil"/>
              <w:right w:val="nil"/>
            </w:tcBorders>
            <w:shd w:val="clear" w:color="000000" w:fill="D8D8D8"/>
            <w:noWrap/>
            <w:vAlign w:val="center"/>
            <w:hideMark/>
          </w:tcPr>
          <w:p w:rsidR="00E37834" w:rsidRPr="00E37834" w:rsidRDefault="00E37834" w:rsidP="00E37834">
            <w:pPr>
              <w:spacing w:after="0" w:line="240" w:lineRule="auto"/>
              <w:jc w:val="right"/>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4%</w:t>
            </w:r>
          </w:p>
        </w:tc>
        <w:tc>
          <w:tcPr>
            <w:tcW w:w="2884" w:type="dxa"/>
            <w:tcBorders>
              <w:top w:val="nil"/>
              <w:left w:val="nil"/>
              <w:bottom w:val="nil"/>
              <w:right w:val="nil"/>
            </w:tcBorders>
            <w:shd w:val="clear" w:color="000000" w:fill="D8D8D8"/>
            <w:noWrap/>
            <w:vAlign w:val="center"/>
            <w:hideMark/>
          </w:tcPr>
          <w:p w:rsidR="00E37834" w:rsidRPr="00E37834" w:rsidRDefault="00E37834" w:rsidP="00E37834">
            <w:pPr>
              <w:spacing w:after="0" w:line="240" w:lineRule="auto"/>
              <w:jc w:val="right"/>
              <w:rPr>
                <w:rFonts w:ascii="Century Gothic" w:eastAsia="Times New Roman" w:hAnsi="Century Gothic" w:cs="Times New Roman"/>
                <w:sz w:val="18"/>
                <w:szCs w:val="18"/>
                <w:lang w:eastAsia="es-CO"/>
              </w:rPr>
            </w:pPr>
            <w:r w:rsidRPr="00E37834">
              <w:rPr>
                <w:rFonts w:ascii="Century Gothic" w:eastAsia="Times New Roman" w:hAnsi="Century Gothic" w:cs="Times New Roman"/>
                <w:sz w:val="18"/>
                <w:szCs w:val="18"/>
                <w:lang w:eastAsia="es-CO"/>
              </w:rPr>
              <w:t>3%</w:t>
            </w:r>
          </w:p>
        </w:tc>
      </w:tr>
      <w:tr w:rsidR="00E37834" w:rsidRPr="00E37834" w:rsidTr="00E37834">
        <w:trPr>
          <w:trHeight w:val="300"/>
        </w:trPr>
        <w:tc>
          <w:tcPr>
            <w:tcW w:w="3608" w:type="dxa"/>
            <w:tcBorders>
              <w:top w:val="nil"/>
              <w:left w:val="nil"/>
              <w:bottom w:val="single" w:sz="4" w:space="0" w:color="D9E2F3"/>
              <w:right w:val="nil"/>
            </w:tcBorders>
            <w:shd w:val="clear" w:color="000000" w:fill="203864"/>
            <w:noWrap/>
            <w:vAlign w:val="center"/>
            <w:hideMark/>
          </w:tcPr>
          <w:p w:rsidR="00E37834" w:rsidRPr="00E37834" w:rsidRDefault="00E37834" w:rsidP="00E37834">
            <w:pPr>
              <w:spacing w:after="0" w:line="240" w:lineRule="auto"/>
              <w:rPr>
                <w:rFonts w:ascii="Century Gothic" w:eastAsia="Times New Roman" w:hAnsi="Century Gothic" w:cs="Times New Roman"/>
                <w:b/>
                <w:bCs/>
                <w:color w:val="FFFFFF"/>
                <w:sz w:val="18"/>
                <w:szCs w:val="18"/>
                <w:lang w:eastAsia="es-CO"/>
              </w:rPr>
            </w:pPr>
            <w:r w:rsidRPr="00E37834">
              <w:rPr>
                <w:rFonts w:ascii="Century Gothic" w:eastAsia="Times New Roman" w:hAnsi="Century Gothic" w:cs="Times New Roman"/>
                <w:b/>
                <w:bCs/>
                <w:color w:val="FFFFFF"/>
                <w:sz w:val="18"/>
                <w:szCs w:val="18"/>
                <w:lang w:eastAsia="es-CO"/>
              </w:rPr>
              <w:t>TOTAL SIN DEUDA</w:t>
            </w:r>
          </w:p>
        </w:tc>
        <w:tc>
          <w:tcPr>
            <w:tcW w:w="1137" w:type="dxa"/>
            <w:tcBorders>
              <w:top w:val="nil"/>
              <w:left w:val="nil"/>
              <w:bottom w:val="single" w:sz="4" w:space="0" w:color="D9E2F3"/>
              <w:right w:val="nil"/>
            </w:tcBorders>
            <w:shd w:val="clear" w:color="000000" w:fill="203864"/>
            <w:noWrap/>
            <w:vAlign w:val="center"/>
            <w:hideMark/>
          </w:tcPr>
          <w:p w:rsidR="00E37834" w:rsidRPr="00E37834" w:rsidRDefault="00E37834" w:rsidP="00E37834">
            <w:pPr>
              <w:spacing w:after="0" w:line="240" w:lineRule="auto"/>
              <w:jc w:val="right"/>
              <w:rPr>
                <w:rFonts w:ascii="Century Gothic" w:eastAsia="Times New Roman" w:hAnsi="Century Gothic" w:cs="Times New Roman"/>
                <w:b/>
                <w:bCs/>
                <w:color w:val="FFFFFF"/>
                <w:sz w:val="18"/>
                <w:szCs w:val="18"/>
                <w:lang w:eastAsia="es-CO"/>
              </w:rPr>
            </w:pPr>
            <w:r w:rsidRPr="00E37834">
              <w:rPr>
                <w:rFonts w:ascii="Century Gothic" w:eastAsia="Times New Roman" w:hAnsi="Century Gothic" w:cs="Times New Roman"/>
                <w:b/>
                <w:bCs/>
                <w:color w:val="FFFFFF"/>
                <w:sz w:val="18"/>
                <w:szCs w:val="18"/>
                <w:lang w:eastAsia="es-CO"/>
              </w:rPr>
              <w:t>100%</w:t>
            </w:r>
          </w:p>
        </w:tc>
        <w:tc>
          <w:tcPr>
            <w:tcW w:w="1137" w:type="dxa"/>
            <w:tcBorders>
              <w:top w:val="nil"/>
              <w:left w:val="nil"/>
              <w:bottom w:val="single" w:sz="4" w:space="0" w:color="D9E2F3"/>
              <w:right w:val="nil"/>
            </w:tcBorders>
            <w:shd w:val="clear" w:color="000000" w:fill="203864"/>
            <w:noWrap/>
            <w:vAlign w:val="center"/>
            <w:hideMark/>
          </w:tcPr>
          <w:p w:rsidR="00E37834" w:rsidRPr="00E37834" w:rsidRDefault="00E37834" w:rsidP="00E37834">
            <w:pPr>
              <w:spacing w:after="0" w:line="240" w:lineRule="auto"/>
              <w:jc w:val="right"/>
              <w:rPr>
                <w:rFonts w:ascii="Century Gothic" w:eastAsia="Times New Roman" w:hAnsi="Century Gothic" w:cs="Times New Roman"/>
                <w:b/>
                <w:bCs/>
                <w:color w:val="FFFFFF"/>
                <w:sz w:val="18"/>
                <w:szCs w:val="18"/>
                <w:lang w:eastAsia="es-CO"/>
              </w:rPr>
            </w:pPr>
            <w:r w:rsidRPr="00E37834">
              <w:rPr>
                <w:rFonts w:ascii="Century Gothic" w:eastAsia="Times New Roman" w:hAnsi="Century Gothic" w:cs="Times New Roman"/>
                <w:b/>
                <w:bCs/>
                <w:color w:val="FFFFFF"/>
                <w:sz w:val="18"/>
                <w:szCs w:val="18"/>
                <w:lang w:eastAsia="es-CO"/>
              </w:rPr>
              <w:t>100%</w:t>
            </w:r>
          </w:p>
        </w:tc>
        <w:tc>
          <w:tcPr>
            <w:tcW w:w="2884" w:type="dxa"/>
            <w:tcBorders>
              <w:top w:val="nil"/>
              <w:left w:val="nil"/>
              <w:bottom w:val="single" w:sz="4" w:space="0" w:color="D9E2F3"/>
              <w:right w:val="nil"/>
            </w:tcBorders>
            <w:shd w:val="clear" w:color="000000" w:fill="203864"/>
            <w:noWrap/>
            <w:vAlign w:val="center"/>
            <w:hideMark/>
          </w:tcPr>
          <w:p w:rsidR="00E37834" w:rsidRPr="00E37834" w:rsidRDefault="00E37834" w:rsidP="00E37834">
            <w:pPr>
              <w:spacing w:after="0" w:line="240" w:lineRule="auto"/>
              <w:jc w:val="right"/>
              <w:rPr>
                <w:rFonts w:ascii="Century Gothic" w:eastAsia="Times New Roman" w:hAnsi="Century Gothic" w:cs="Times New Roman"/>
                <w:b/>
                <w:bCs/>
                <w:color w:val="FFFFFF"/>
                <w:sz w:val="18"/>
                <w:szCs w:val="18"/>
                <w:lang w:eastAsia="es-CO"/>
              </w:rPr>
            </w:pPr>
            <w:r w:rsidRPr="00E37834">
              <w:rPr>
                <w:rFonts w:ascii="Century Gothic" w:eastAsia="Times New Roman" w:hAnsi="Century Gothic" w:cs="Times New Roman"/>
                <w:b/>
                <w:bCs/>
                <w:color w:val="FFFFFF"/>
                <w:sz w:val="18"/>
                <w:szCs w:val="18"/>
                <w:lang w:eastAsia="es-CO"/>
              </w:rPr>
              <w:t>100%</w:t>
            </w:r>
          </w:p>
        </w:tc>
      </w:tr>
    </w:tbl>
    <w:p w:rsidR="00E37834" w:rsidRPr="00E37834" w:rsidRDefault="00E37834" w:rsidP="00E37834">
      <w:pPr>
        <w:spacing w:line="276" w:lineRule="auto"/>
        <w:jc w:val="center"/>
        <w:rPr>
          <w:rFonts w:eastAsiaTheme="majorEastAsia" w:cstheme="majorBidi"/>
          <w:color w:val="000000" w:themeColor="text1"/>
          <w:sz w:val="18"/>
          <w:szCs w:val="36"/>
        </w:rPr>
      </w:pPr>
      <w:r w:rsidRPr="00E37834">
        <w:rPr>
          <w:rFonts w:eastAsiaTheme="majorEastAsia" w:cstheme="majorBidi"/>
          <w:color w:val="000000" w:themeColor="text1"/>
          <w:sz w:val="18"/>
          <w:szCs w:val="36"/>
        </w:rPr>
        <w:t>Fuente: Ministerio de Hacienda</w:t>
      </w:r>
    </w:p>
    <w:p w:rsidR="00E37834" w:rsidRPr="00E37834" w:rsidRDefault="00EF3FA9" w:rsidP="00E37834">
      <w:pPr>
        <w:spacing w:line="276" w:lineRule="auto"/>
        <w:rPr>
          <w:rFonts w:asciiTheme="majorHAnsi" w:eastAsiaTheme="majorEastAsia" w:hAnsiTheme="majorHAnsi" w:cstheme="majorBidi"/>
          <w:b/>
          <w:color w:val="000000" w:themeColor="text1"/>
          <w:szCs w:val="36"/>
        </w:rPr>
      </w:pPr>
      <w:r>
        <w:rPr>
          <w:rFonts w:asciiTheme="majorHAnsi" w:eastAsiaTheme="majorEastAsia" w:hAnsiTheme="majorHAnsi" w:cstheme="majorBidi"/>
          <w:b/>
          <w:color w:val="000000" w:themeColor="text1"/>
          <w:szCs w:val="36"/>
        </w:rPr>
        <w:t xml:space="preserve">9.3 </w:t>
      </w:r>
      <w:r w:rsidR="00E37834" w:rsidRPr="00E37834">
        <w:rPr>
          <w:rFonts w:asciiTheme="majorHAnsi" w:eastAsiaTheme="majorEastAsia" w:hAnsiTheme="majorHAnsi" w:cstheme="majorBidi"/>
          <w:b/>
          <w:color w:val="000000" w:themeColor="text1"/>
          <w:szCs w:val="36"/>
        </w:rPr>
        <w:t>Sumatoria de dinero en juego de hechos de corrupción reportados por la prensa según sectores</w:t>
      </w:r>
    </w:p>
    <w:tbl>
      <w:tblPr>
        <w:tblW w:w="8789" w:type="dxa"/>
        <w:tblInd w:w="70" w:type="dxa"/>
        <w:tblCellMar>
          <w:left w:w="70" w:type="dxa"/>
          <w:right w:w="70" w:type="dxa"/>
        </w:tblCellMar>
        <w:tblLook w:val="04A0"/>
      </w:tblPr>
      <w:tblGrid>
        <w:gridCol w:w="4820"/>
        <w:gridCol w:w="3969"/>
      </w:tblGrid>
      <w:tr w:rsidR="00E37834" w:rsidRPr="00E37834" w:rsidTr="00E37834">
        <w:trPr>
          <w:trHeight w:val="300"/>
        </w:trPr>
        <w:tc>
          <w:tcPr>
            <w:tcW w:w="4820" w:type="dxa"/>
            <w:tcBorders>
              <w:top w:val="nil"/>
              <w:left w:val="nil"/>
              <w:bottom w:val="nil"/>
              <w:right w:val="nil"/>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b/>
                <w:bCs/>
                <w:color w:val="000000"/>
                <w:lang w:eastAsia="es-CO"/>
              </w:rPr>
            </w:pPr>
          </w:p>
        </w:tc>
        <w:tc>
          <w:tcPr>
            <w:tcW w:w="3969" w:type="dxa"/>
            <w:tcBorders>
              <w:top w:val="nil"/>
              <w:left w:val="nil"/>
              <w:bottom w:val="nil"/>
              <w:right w:val="nil"/>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p>
        </w:tc>
      </w:tr>
      <w:tr w:rsidR="00E37834" w:rsidRPr="00E37834" w:rsidTr="00E37834">
        <w:trPr>
          <w:trHeight w:val="315"/>
        </w:trPr>
        <w:tc>
          <w:tcPr>
            <w:tcW w:w="482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E37834" w:rsidRPr="00E37834" w:rsidRDefault="00E37834" w:rsidP="00E37834">
            <w:pPr>
              <w:spacing w:after="0" w:line="240" w:lineRule="auto"/>
              <w:jc w:val="center"/>
              <w:rPr>
                <w:rFonts w:ascii="Calibri" w:eastAsia="Times New Roman" w:hAnsi="Calibri" w:cs="Times New Roman"/>
                <w:b/>
                <w:bCs/>
                <w:color w:val="FFFFFF"/>
                <w:sz w:val="24"/>
                <w:szCs w:val="24"/>
                <w:lang w:eastAsia="es-CO"/>
              </w:rPr>
            </w:pPr>
            <w:r w:rsidRPr="00E37834">
              <w:rPr>
                <w:rFonts w:ascii="Calibri" w:eastAsia="Times New Roman" w:hAnsi="Calibri" w:cs="Times New Roman"/>
                <w:b/>
                <w:bCs/>
                <w:color w:val="FFFFFF"/>
                <w:sz w:val="24"/>
                <w:szCs w:val="24"/>
                <w:lang w:eastAsia="es-CO"/>
              </w:rPr>
              <w:t>Sectores</w:t>
            </w:r>
          </w:p>
        </w:tc>
        <w:tc>
          <w:tcPr>
            <w:tcW w:w="3969" w:type="dxa"/>
            <w:tcBorders>
              <w:top w:val="single" w:sz="4" w:space="0" w:color="auto"/>
              <w:left w:val="nil"/>
              <w:bottom w:val="single" w:sz="4" w:space="0" w:color="auto"/>
              <w:right w:val="single" w:sz="4" w:space="0" w:color="auto"/>
            </w:tcBorders>
            <w:shd w:val="clear" w:color="000000" w:fill="002060"/>
            <w:noWrap/>
            <w:vAlign w:val="bottom"/>
            <w:hideMark/>
          </w:tcPr>
          <w:p w:rsidR="00E37834" w:rsidRPr="00E37834" w:rsidRDefault="00E37834" w:rsidP="00E37834">
            <w:pPr>
              <w:spacing w:after="0" w:line="240" w:lineRule="auto"/>
              <w:rPr>
                <w:rFonts w:ascii="Calibri" w:eastAsia="Times New Roman" w:hAnsi="Calibri" w:cs="Times New Roman"/>
                <w:b/>
                <w:bCs/>
                <w:color w:val="FFFFFF"/>
                <w:sz w:val="24"/>
                <w:szCs w:val="24"/>
                <w:lang w:eastAsia="es-CO"/>
              </w:rPr>
            </w:pPr>
            <w:r w:rsidRPr="00E37834">
              <w:rPr>
                <w:rFonts w:ascii="Calibri" w:eastAsia="Times New Roman" w:hAnsi="Calibri" w:cs="Times New Roman"/>
                <w:b/>
                <w:bCs/>
                <w:color w:val="FFFFFF"/>
                <w:sz w:val="24"/>
                <w:szCs w:val="24"/>
                <w:lang w:eastAsia="es-CO"/>
              </w:rPr>
              <w:t>Suma de Dinero en Juego</w:t>
            </w:r>
          </w:p>
        </w:tc>
      </w:tr>
      <w:tr w:rsidR="00E37834" w:rsidRPr="00E37834" w:rsidTr="00E37834">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Minas y Energía</w:t>
            </w:r>
          </w:p>
        </w:tc>
        <w:tc>
          <w:tcPr>
            <w:tcW w:w="3969" w:type="dxa"/>
            <w:tcBorders>
              <w:top w:val="nil"/>
              <w:left w:val="nil"/>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 $         8.540.000.000.000 </w:t>
            </w:r>
          </w:p>
        </w:tc>
      </w:tr>
      <w:tr w:rsidR="00E37834" w:rsidRPr="00E37834" w:rsidTr="00E37834">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Infraestructura y Transporte </w:t>
            </w:r>
          </w:p>
        </w:tc>
        <w:tc>
          <w:tcPr>
            <w:tcW w:w="3969" w:type="dxa"/>
            <w:tcBorders>
              <w:top w:val="nil"/>
              <w:left w:val="nil"/>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 $         4.438.252.345.641 </w:t>
            </w:r>
          </w:p>
        </w:tc>
      </w:tr>
      <w:tr w:rsidR="00E37834" w:rsidRPr="00E37834" w:rsidTr="00E37834">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Salud</w:t>
            </w:r>
          </w:p>
        </w:tc>
        <w:tc>
          <w:tcPr>
            <w:tcW w:w="3969" w:type="dxa"/>
            <w:tcBorders>
              <w:top w:val="nil"/>
              <w:left w:val="nil"/>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 $         3.250.557.122.860 </w:t>
            </w:r>
          </w:p>
        </w:tc>
      </w:tr>
      <w:tr w:rsidR="00E37834" w:rsidRPr="00E37834" w:rsidTr="00E37834">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Educación</w:t>
            </w:r>
          </w:p>
        </w:tc>
        <w:tc>
          <w:tcPr>
            <w:tcW w:w="3969" w:type="dxa"/>
            <w:tcBorders>
              <w:top w:val="nil"/>
              <w:left w:val="nil"/>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 $             550.066.396.087 </w:t>
            </w:r>
          </w:p>
        </w:tc>
      </w:tr>
      <w:tr w:rsidR="00E37834" w:rsidRPr="00E37834" w:rsidTr="00E37834">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Servicios Públicos, Vivienda y Medio Ambiente </w:t>
            </w:r>
          </w:p>
        </w:tc>
        <w:tc>
          <w:tcPr>
            <w:tcW w:w="3969" w:type="dxa"/>
            <w:tcBorders>
              <w:top w:val="nil"/>
              <w:left w:val="nil"/>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 $             339.048.509.368 </w:t>
            </w:r>
          </w:p>
        </w:tc>
      </w:tr>
      <w:tr w:rsidR="00E37834" w:rsidRPr="00E37834" w:rsidTr="00E37834">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TICS, Ciencia y Tecnología </w:t>
            </w:r>
          </w:p>
        </w:tc>
        <w:tc>
          <w:tcPr>
            <w:tcW w:w="3969" w:type="dxa"/>
            <w:tcBorders>
              <w:top w:val="nil"/>
              <w:left w:val="nil"/>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 $             190.771.000.000 </w:t>
            </w:r>
          </w:p>
        </w:tc>
      </w:tr>
      <w:tr w:rsidR="00E37834" w:rsidRPr="00E37834" w:rsidTr="00E37834">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lastRenderedPageBreak/>
              <w:t>Justicia</w:t>
            </w:r>
          </w:p>
        </w:tc>
        <w:tc>
          <w:tcPr>
            <w:tcW w:w="3969" w:type="dxa"/>
            <w:tcBorders>
              <w:top w:val="nil"/>
              <w:left w:val="nil"/>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 $             159.670.000.000 </w:t>
            </w:r>
          </w:p>
        </w:tc>
      </w:tr>
      <w:tr w:rsidR="00E37834" w:rsidRPr="00E37834" w:rsidTr="00E37834">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Función Pública</w:t>
            </w:r>
          </w:p>
        </w:tc>
        <w:tc>
          <w:tcPr>
            <w:tcW w:w="3969" w:type="dxa"/>
            <w:tcBorders>
              <w:top w:val="nil"/>
              <w:left w:val="nil"/>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 $             136.690.000.000 </w:t>
            </w:r>
          </w:p>
        </w:tc>
      </w:tr>
      <w:tr w:rsidR="00E37834" w:rsidRPr="00E37834" w:rsidTr="00E37834">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Deporte y Cultura </w:t>
            </w:r>
          </w:p>
        </w:tc>
        <w:tc>
          <w:tcPr>
            <w:tcW w:w="3969" w:type="dxa"/>
            <w:tcBorders>
              <w:top w:val="nil"/>
              <w:left w:val="nil"/>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 $             115.682.258.006 </w:t>
            </w:r>
          </w:p>
        </w:tc>
      </w:tr>
      <w:tr w:rsidR="00E37834" w:rsidRPr="00E37834" w:rsidTr="00E37834">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Seguridad y Defensa </w:t>
            </w:r>
          </w:p>
        </w:tc>
        <w:tc>
          <w:tcPr>
            <w:tcW w:w="3969" w:type="dxa"/>
            <w:tcBorders>
              <w:top w:val="nil"/>
              <w:left w:val="nil"/>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 $               94.716.817.000 </w:t>
            </w:r>
          </w:p>
        </w:tc>
      </w:tr>
      <w:tr w:rsidR="00E37834" w:rsidRPr="00E37834" w:rsidTr="00E37834">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Hacienda y Crédito Público</w:t>
            </w:r>
          </w:p>
        </w:tc>
        <w:tc>
          <w:tcPr>
            <w:tcW w:w="3969" w:type="dxa"/>
            <w:tcBorders>
              <w:top w:val="nil"/>
              <w:left w:val="nil"/>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 $               61.966.090.100 </w:t>
            </w:r>
          </w:p>
        </w:tc>
      </w:tr>
      <w:tr w:rsidR="00E37834" w:rsidRPr="00E37834" w:rsidTr="00E37834">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Trabajo</w:t>
            </w:r>
          </w:p>
        </w:tc>
        <w:tc>
          <w:tcPr>
            <w:tcW w:w="3969" w:type="dxa"/>
            <w:tcBorders>
              <w:top w:val="nil"/>
              <w:left w:val="nil"/>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 $                  7.583.000.000 </w:t>
            </w:r>
          </w:p>
        </w:tc>
      </w:tr>
      <w:tr w:rsidR="00E37834" w:rsidRPr="00E37834" w:rsidTr="00E37834">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Agricultura y desarrollo rural</w:t>
            </w:r>
          </w:p>
        </w:tc>
        <w:tc>
          <w:tcPr>
            <w:tcW w:w="3969" w:type="dxa"/>
            <w:tcBorders>
              <w:top w:val="nil"/>
              <w:left w:val="nil"/>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 $                  3.166.323.750 </w:t>
            </w:r>
          </w:p>
        </w:tc>
      </w:tr>
      <w:tr w:rsidR="00E37834" w:rsidRPr="00E37834" w:rsidTr="00E37834">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Interior</w:t>
            </w:r>
          </w:p>
        </w:tc>
        <w:tc>
          <w:tcPr>
            <w:tcW w:w="3969" w:type="dxa"/>
            <w:tcBorders>
              <w:top w:val="nil"/>
              <w:left w:val="nil"/>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 $                  2.170.000.000 </w:t>
            </w:r>
          </w:p>
        </w:tc>
      </w:tr>
      <w:tr w:rsidR="00E37834" w:rsidRPr="00E37834" w:rsidTr="00E37834">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Inclusión Social y Reconciliación</w:t>
            </w:r>
          </w:p>
        </w:tc>
        <w:tc>
          <w:tcPr>
            <w:tcW w:w="3969" w:type="dxa"/>
            <w:tcBorders>
              <w:top w:val="nil"/>
              <w:left w:val="nil"/>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 $                     925.000.000 </w:t>
            </w:r>
          </w:p>
        </w:tc>
      </w:tr>
      <w:tr w:rsidR="00E37834" w:rsidRPr="00E37834" w:rsidTr="00E37834">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Turismo</w:t>
            </w:r>
          </w:p>
        </w:tc>
        <w:tc>
          <w:tcPr>
            <w:tcW w:w="3969" w:type="dxa"/>
            <w:tcBorders>
              <w:top w:val="nil"/>
              <w:left w:val="nil"/>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 $                     350.000.000 </w:t>
            </w:r>
          </w:p>
        </w:tc>
      </w:tr>
      <w:tr w:rsidR="00E37834" w:rsidRPr="00E37834" w:rsidTr="00E37834">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Electoral</w:t>
            </w:r>
          </w:p>
        </w:tc>
        <w:tc>
          <w:tcPr>
            <w:tcW w:w="3969" w:type="dxa"/>
            <w:tcBorders>
              <w:top w:val="nil"/>
              <w:left w:val="nil"/>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 $                     260.000.000 </w:t>
            </w:r>
          </w:p>
        </w:tc>
      </w:tr>
      <w:tr w:rsidR="00E37834" w:rsidRPr="00E37834" w:rsidTr="00E37834">
        <w:trPr>
          <w:trHeight w:val="300"/>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Industria y Comercio</w:t>
            </w:r>
          </w:p>
        </w:tc>
        <w:tc>
          <w:tcPr>
            <w:tcW w:w="3969" w:type="dxa"/>
            <w:tcBorders>
              <w:top w:val="nil"/>
              <w:left w:val="nil"/>
              <w:bottom w:val="single" w:sz="4" w:space="0" w:color="auto"/>
              <w:right w:val="single" w:sz="4" w:space="0" w:color="auto"/>
            </w:tcBorders>
            <w:shd w:val="clear" w:color="auto" w:fill="auto"/>
            <w:noWrap/>
            <w:vAlign w:val="bottom"/>
            <w:hideMark/>
          </w:tcPr>
          <w:p w:rsidR="00E37834" w:rsidRPr="00E37834" w:rsidRDefault="00E37834" w:rsidP="00E37834">
            <w:pPr>
              <w:spacing w:after="0" w:line="240" w:lineRule="auto"/>
              <w:rPr>
                <w:rFonts w:ascii="Calibri" w:eastAsia="Times New Roman" w:hAnsi="Calibri" w:cs="Times New Roman"/>
                <w:color w:val="000000"/>
                <w:lang w:eastAsia="es-CO"/>
              </w:rPr>
            </w:pPr>
            <w:r w:rsidRPr="00E37834">
              <w:rPr>
                <w:rFonts w:ascii="Calibri" w:eastAsia="Times New Roman" w:hAnsi="Calibri" w:cs="Times New Roman"/>
                <w:color w:val="000000"/>
                <w:lang w:eastAsia="es-CO"/>
              </w:rPr>
              <w:t xml:space="preserve"> $                          2.600.000 </w:t>
            </w:r>
          </w:p>
        </w:tc>
      </w:tr>
      <w:tr w:rsidR="00E37834" w:rsidRPr="00E37834" w:rsidTr="00E37834">
        <w:trPr>
          <w:trHeight w:val="300"/>
        </w:trPr>
        <w:tc>
          <w:tcPr>
            <w:tcW w:w="4820" w:type="dxa"/>
            <w:tcBorders>
              <w:top w:val="nil"/>
              <w:left w:val="single" w:sz="4" w:space="0" w:color="auto"/>
              <w:bottom w:val="single" w:sz="4" w:space="0" w:color="auto"/>
              <w:right w:val="single" w:sz="4" w:space="0" w:color="auto"/>
            </w:tcBorders>
            <w:shd w:val="clear" w:color="000000" w:fill="B8CCE4"/>
            <w:noWrap/>
            <w:vAlign w:val="bottom"/>
            <w:hideMark/>
          </w:tcPr>
          <w:p w:rsidR="00E37834" w:rsidRPr="00E37834" w:rsidRDefault="00E37834" w:rsidP="00E37834">
            <w:pPr>
              <w:spacing w:after="0" w:line="240" w:lineRule="auto"/>
              <w:rPr>
                <w:rFonts w:ascii="Calibri" w:eastAsia="Times New Roman" w:hAnsi="Calibri" w:cs="Times New Roman"/>
                <w:b/>
                <w:bCs/>
                <w:color w:val="000000"/>
                <w:lang w:eastAsia="es-CO"/>
              </w:rPr>
            </w:pPr>
            <w:r w:rsidRPr="00E37834">
              <w:rPr>
                <w:rFonts w:ascii="Calibri" w:eastAsia="Times New Roman" w:hAnsi="Calibri" w:cs="Times New Roman"/>
                <w:b/>
                <w:bCs/>
                <w:color w:val="000000"/>
                <w:lang w:eastAsia="es-CO"/>
              </w:rPr>
              <w:t>Total general</w:t>
            </w:r>
          </w:p>
        </w:tc>
        <w:tc>
          <w:tcPr>
            <w:tcW w:w="3969" w:type="dxa"/>
            <w:tcBorders>
              <w:top w:val="nil"/>
              <w:left w:val="nil"/>
              <w:bottom w:val="single" w:sz="4" w:space="0" w:color="auto"/>
              <w:right w:val="single" w:sz="4" w:space="0" w:color="auto"/>
            </w:tcBorders>
            <w:shd w:val="clear" w:color="000000" w:fill="B8CCE4"/>
            <w:noWrap/>
            <w:vAlign w:val="bottom"/>
            <w:hideMark/>
          </w:tcPr>
          <w:p w:rsidR="00E37834" w:rsidRPr="00E37834" w:rsidRDefault="00E37834" w:rsidP="00E37834">
            <w:pPr>
              <w:spacing w:after="0" w:line="240" w:lineRule="auto"/>
              <w:rPr>
                <w:rFonts w:ascii="Calibri" w:eastAsia="Times New Roman" w:hAnsi="Calibri" w:cs="Times New Roman"/>
                <w:b/>
                <w:bCs/>
                <w:color w:val="000000"/>
                <w:lang w:eastAsia="es-CO"/>
              </w:rPr>
            </w:pPr>
            <w:r w:rsidRPr="00E37834">
              <w:rPr>
                <w:rFonts w:ascii="Calibri" w:eastAsia="Times New Roman" w:hAnsi="Calibri" w:cs="Times New Roman"/>
                <w:b/>
                <w:bCs/>
                <w:color w:val="000000"/>
                <w:lang w:eastAsia="es-CO"/>
              </w:rPr>
              <w:t xml:space="preserve"> $       17.891.877.462.812 </w:t>
            </w:r>
          </w:p>
        </w:tc>
      </w:tr>
    </w:tbl>
    <w:p w:rsidR="00E37834" w:rsidRPr="00E37834" w:rsidRDefault="00E37834" w:rsidP="00E37834">
      <w:pPr>
        <w:spacing w:line="276" w:lineRule="auto"/>
        <w:jc w:val="center"/>
        <w:rPr>
          <w:rFonts w:cstheme="minorHAnsi"/>
          <w:sz w:val="20"/>
        </w:rPr>
      </w:pPr>
      <w:r w:rsidRPr="00E37834">
        <w:rPr>
          <w:rFonts w:cstheme="minorHAnsi"/>
          <w:sz w:val="20"/>
        </w:rPr>
        <w:t xml:space="preserve">Fuente: Monitor Ciudadano (2016-2018) </w:t>
      </w:r>
    </w:p>
    <w:sectPr w:rsidR="00E37834" w:rsidRPr="00E37834" w:rsidSect="000D2355">
      <w:pgSz w:w="12240" w:h="15840"/>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mrodriguez" w:date="2019-04-03T10:40:00Z" w:initials="m">
    <w:p w:rsidR="00443678" w:rsidRDefault="00443678">
      <w:pPr>
        <w:pStyle w:val="Textocomentario"/>
      </w:pPr>
      <w:r>
        <w:rPr>
          <w:rStyle w:val="Refdecomentario"/>
        </w:rPr>
        <w:annotationRef/>
      </w:r>
      <w:r>
        <w:t xml:space="preserve">Pendiente vínculo directo a las bases. </w:t>
      </w:r>
    </w:p>
    <w:p w:rsidR="00443678" w:rsidRDefault="00443678">
      <w:pPr>
        <w:pStyle w:val="Textocomentario"/>
      </w:pPr>
    </w:p>
  </w:comment>
  <w:comment w:id="7" w:author="mrestrepo" w:date="2019-04-03T10:40:00Z" w:initials="MRH">
    <w:p w:rsidR="00443678" w:rsidRDefault="00443678">
      <w:pPr>
        <w:pStyle w:val="Textocomentario"/>
      </w:pPr>
      <w:r>
        <w:rPr>
          <w:rStyle w:val="Refdecomentario"/>
        </w:rPr>
        <w:annotationRef/>
      </w:r>
      <w:r>
        <w:t>Bernardo que nos ayude con un mejor titulo</w:t>
      </w:r>
    </w:p>
  </w:comment>
  <w:comment w:id="8" w:author="mrestrepo" w:date="2019-04-03T10:40:00Z" w:initials="MRH">
    <w:p w:rsidR="00443678" w:rsidRDefault="00443678">
      <w:pPr>
        <w:pStyle w:val="Textocomentario"/>
      </w:pPr>
      <w:r>
        <w:rPr>
          <w:rStyle w:val="Refdecomentario"/>
        </w:rPr>
        <w:annotationRef/>
      </w:r>
      <w:r>
        <w:t>Meter gráfica – ver infografía – hablar con Bernardo</w:t>
      </w:r>
    </w:p>
  </w:comment>
  <w:comment w:id="9" w:author="mrestrepo" w:date="2019-04-03T10:40:00Z" w:initials="MRH">
    <w:p w:rsidR="00443678" w:rsidRDefault="00443678">
      <w:pPr>
        <w:pStyle w:val="Textocomentario"/>
      </w:pPr>
      <w:r>
        <w:rPr>
          <w:rStyle w:val="Refdecomentario"/>
        </w:rPr>
        <w:annotationRef/>
      </w:r>
      <w:r>
        <w:t>Meter gráfica – ver infografía – hablar con Bernardo</w:t>
      </w:r>
    </w:p>
  </w:comment>
  <w:comment w:id="10" w:author="mrestrepo" w:date="2019-04-03T10:40:00Z" w:initials="MRH">
    <w:p w:rsidR="00443678" w:rsidRDefault="00443678">
      <w:pPr>
        <w:pStyle w:val="Textocomentario"/>
      </w:pPr>
      <w:r>
        <w:rPr>
          <w:rStyle w:val="Refdecomentario"/>
        </w:rPr>
        <w:annotationRef/>
      </w:r>
      <w:r>
        <w:t>Meter gráfica – ver infografía – hablar con Bernardo</w:t>
      </w:r>
    </w:p>
  </w:comment>
  <w:comment w:id="11" w:author="mrestrepo" w:date="2019-04-03T10:40:00Z" w:initials="MRH">
    <w:p w:rsidR="00443678" w:rsidRDefault="00443678">
      <w:pPr>
        <w:pStyle w:val="Textocomentario"/>
      </w:pPr>
      <w:r>
        <w:rPr>
          <w:rStyle w:val="Refdecomentario"/>
        </w:rPr>
        <w:annotationRef/>
      </w:r>
      <w:r>
        <w:t>Meter gráfica – ver infografía – hablar con Bernardo</w:t>
      </w:r>
    </w:p>
  </w:comment>
  <w:comment w:id="14" w:author="mrodriguez" w:date="2019-04-03T10:40:00Z" w:initials="m">
    <w:p w:rsidR="00443678" w:rsidRDefault="00443678">
      <w:pPr>
        <w:pStyle w:val="Textocomentario"/>
      </w:pPr>
      <w:r>
        <w:rPr>
          <w:rStyle w:val="Refdecomentario"/>
        </w:rPr>
        <w:annotationRef/>
      </w:r>
      <w:r>
        <w:t xml:space="preserve">Este mapa tendría que tener el Número o el % de hechos en cada departamento. Propuesta de diseño enviada por Bernardo </w:t>
      </w:r>
    </w:p>
  </w:comment>
  <w:comment w:id="15" w:author="mrestrepo" w:date="2019-04-03T10:40:00Z" w:initials="MRH">
    <w:p w:rsidR="00443678" w:rsidRDefault="00443678">
      <w:pPr>
        <w:pStyle w:val="Textocomentario"/>
      </w:pPr>
      <w:r>
        <w:rPr>
          <w:rStyle w:val="Refdecomentario"/>
        </w:rPr>
        <w:annotationRef/>
      </w:r>
      <w:r>
        <w:t>Bernardo un mejor titulo</w:t>
      </w:r>
    </w:p>
  </w:comment>
  <w:comment w:id="19" w:author="mrestrepo" w:date="2019-04-03T10:40:00Z" w:initials="MRH">
    <w:p w:rsidR="00443678" w:rsidRDefault="00443678">
      <w:pPr>
        <w:pStyle w:val="Textocomentario"/>
      </w:pPr>
      <w:r>
        <w:rPr>
          <w:rStyle w:val="Refdecomentario"/>
        </w:rPr>
        <w:annotationRef/>
      </w:r>
      <w:r>
        <w:t>Esto toca trabajarlo en diagramación para que salga chévere y no un chorrero. O inventarnos unas tablas resumen que remitan a la información detallada en el aplicativo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89845" w15:done="0"/>
  <w15:commentEx w15:paraId="22C6811C" w15:done="0"/>
  <w15:commentEx w15:paraId="3453D42F" w15:done="0"/>
  <w15:commentEx w15:paraId="0EFFCDB8" w15:done="0"/>
  <w15:commentEx w15:paraId="0683B9A1" w15:done="0"/>
  <w15:commentEx w15:paraId="0675084B" w15:done="0"/>
  <w15:commentEx w15:paraId="52CBDE91" w15:done="0"/>
  <w15:commentEx w15:paraId="722638CA" w15:done="0"/>
  <w15:commentEx w15:paraId="3F5D8E9A" w15:done="0"/>
  <w15:commentEx w15:paraId="03346F1C" w15:done="0"/>
  <w15:commentEx w15:paraId="0D972B64" w15:done="0"/>
  <w15:commentEx w15:paraId="34AB15EA" w15:done="0"/>
  <w15:commentEx w15:paraId="7B6840DE" w15:done="0"/>
  <w15:commentEx w15:paraId="698D7590" w15:done="0"/>
  <w15:commentEx w15:paraId="3AD74DA9" w15:done="0"/>
  <w15:commentEx w15:paraId="72E40B52" w15:done="0"/>
  <w15:commentEx w15:paraId="31934C37" w15:done="0"/>
  <w15:commentEx w15:paraId="21C50CC2" w15:done="0"/>
  <w15:commentEx w15:paraId="4D96E2D6" w15:done="0"/>
  <w15:commentEx w15:paraId="0A358641" w15:done="0"/>
  <w15:commentEx w15:paraId="6CA33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25749" w16cid:durableId="203872AB"/>
  <w16cid:commentId w16cid:paraId="52C97FCB" w16cid:durableId="203872AC"/>
  <w16cid:commentId w16cid:paraId="7D6BAD83" w16cid:durableId="203872AD"/>
  <w16cid:commentId w16cid:paraId="459D4E69" w16cid:durableId="203872AE"/>
  <w16cid:commentId w16cid:paraId="09838ECE" w16cid:durableId="203872AF"/>
  <w16cid:commentId w16cid:paraId="49A0C026" w16cid:durableId="203872B0"/>
  <w16cid:commentId w16cid:paraId="7AD03D34" w16cid:durableId="203872B1"/>
  <w16cid:commentId w16cid:paraId="2DF6A571" w16cid:durableId="203872B2"/>
  <w16cid:commentId w16cid:paraId="570A39A9" w16cid:durableId="203872B3"/>
  <w16cid:commentId w16cid:paraId="4A7105DB" w16cid:durableId="20387640"/>
  <w16cid:commentId w16cid:paraId="4ABD1FE4" w16cid:durableId="20387642"/>
  <w16cid:commentId w16cid:paraId="5C34213D" w16cid:durableId="2038763A"/>
  <w16cid:commentId w16cid:paraId="7E2F942A" w16cid:durableId="2038763D"/>
  <w16cid:commentId w16cid:paraId="771F1218" w16cid:durableId="203872B4"/>
  <w16cid:commentId w16cid:paraId="153E1EC9" w16cid:durableId="203878FD"/>
  <w16cid:commentId w16cid:paraId="0B2FBA99" w16cid:durableId="203879F4"/>
  <w16cid:commentId w16cid:paraId="231DD9B8" w16cid:durableId="2038786C"/>
  <w16cid:commentId w16cid:paraId="789DA64C" w16cid:durableId="20387A56"/>
  <w16cid:commentId w16cid:paraId="457F6C7A" w16cid:durableId="20387AEE"/>
  <w16cid:commentId w16cid:paraId="1E83158E" w16cid:durableId="20387CA6"/>
  <w16cid:commentId w16cid:paraId="48340446" w16cid:durableId="20387CCD"/>
  <w16cid:commentId w16cid:paraId="6DB8A5CC" w16cid:durableId="20387F15"/>
  <w16cid:commentId w16cid:paraId="3D6C0B2F" w16cid:durableId="203880D3"/>
  <w16cid:commentId w16cid:paraId="4E8E69FB" w16cid:durableId="2038811D"/>
  <w16cid:commentId w16cid:paraId="2E040686" w16cid:durableId="2038895F"/>
  <w16cid:commentId w16cid:paraId="08269009" w16cid:durableId="20388933"/>
  <w16cid:commentId w16cid:paraId="7B598B5B" w16cid:durableId="20388DF9"/>
  <w16cid:commentId w16cid:paraId="3DC0F7BC" w16cid:durableId="20388E5A"/>
  <w16cid:commentId w16cid:paraId="641ECC32" w16cid:durableId="2038987B"/>
  <w16cid:commentId w16cid:paraId="25CBE317" w16cid:durableId="2038907B"/>
  <w16cid:commentId w16cid:paraId="0B5D6F5B" w16cid:durableId="20388F96"/>
  <w16cid:commentId w16cid:paraId="1E6B62E9" w16cid:durableId="20388FC3"/>
  <w16cid:commentId w16cid:paraId="536CE209" w16cid:durableId="2038900A"/>
  <w16cid:commentId w16cid:paraId="5C2E9356" w16cid:durableId="20389118"/>
  <w16cid:commentId w16cid:paraId="329A195E" w16cid:durableId="2038912C"/>
  <w16cid:commentId w16cid:paraId="7A6E0485" w16cid:durableId="2038914A"/>
  <w16cid:commentId w16cid:paraId="128FFDD6" w16cid:durableId="20389198"/>
  <w16cid:commentId w16cid:paraId="67D1E6D5" w16cid:durableId="20389A9A"/>
  <w16cid:commentId w16cid:paraId="4F1904E0" w16cid:durableId="20389FFD"/>
  <w16cid:commentId w16cid:paraId="0DDCF03A" w16cid:durableId="2038A004"/>
  <w16cid:commentId w16cid:paraId="6FF8954B" w16cid:durableId="2038A00C"/>
  <w16cid:commentId w16cid:paraId="67EDFB1F" w16cid:durableId="2038A1D1"/>
  <w16cid:commentId w16cid:paraId="6D1E9088" w16cid:durableId="2038A080"/>
  <w16cid:commentId w16cid:paraId="0B5D9801" w16cid:durableId="2038A05D"/>
  <w16cid:commentId w16cid:paraId="0EEB0B28" w16cid:durableId="2038A175"/>
  <w16cid:commentId w16cid:paraId="298EDC1E" w16cid:durableId="20389EEE"/>
  <w16cid:commentId w16cid:paraId="7D7B6954" w16cid:durableId="203872B5"/>
  <w16cid:commentId w16cid:paraId="5392F740" w16cid:durableId="2038A455"/>
  <w16cid:commentId w16cid:paraId="52A17BC7" w16cid:durableId="2038B442"/>
  <w16cid:commentId w16cid:paraId="7345D446" w16cid:durableId="2038A43C"/>
  <w16cid:commentId w16cid:paraId="563B7542" w16cid:durableId="2038A553"/>
  <w16cid:commentId w16cid:paraId="218E5D08" w16cid:durableId="2038A570"/>
  <w16cid:commentId w16cid:paraId="3536112B" w16cid:durableId="2038B517"/>
  <w16cid:commentId w16cid:paraId="7F7A05C8" w16cid:durableId="2038B564"/>
  <w16cid:commentId w16cid:paraId="3F8617B4" w16cid:durableId="2038B577"/>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0B3" w:rsidRDefault="004420B3" w:rsidP="00FC5B84">
      <w:pPr>
        <w:spacing w:after="0" w:line="240" w:lineRule="auto"/>
      </w:pPr>
      <w:r>
        <w:separator/>
      </w:r>
    </w:p>
  </w:endnote>
  <w:endnote w:type="continuationSeparator" w:id="0">
    <w:p w:rsidR="004420B3" w:rsidRDefault="004420B3" w:rsidP="00FC5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haroni">
    <w:panose1 w:val="02010803020104030203"/>
    <w:charset w:val="B1"/>
    <w:family w:val="auto"/>
    <w:pitch w:val="variable"/>
    <w:sig w:usb0="00000801" w:usb1="00000000" w:usb2="00000000" w:usb3="00000000" w:csb0="00000020" w:csb1="00000000"/>
  </w:font>
  <w:font w:name="roboto_slab_regular">
    <w:altName w:val="Times New Roman"/>
    <w:panose1 w:val="00000000000000000000"/>
    <w:charset w:val="00"/>
    <w:family w:val="roman"/>
    <w:notTrueType/>
    <w:pitch w:val="default"/>
    <w:sig w:usb0="00000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70641"/>
      <w:docPartObj>
        <w:docPartGallery w:val="Page Numbers (Bottom of Page)"/>
        <w:docPartUnique/>
      </w:docPartObj>
    </w:sdtPr>
    <w:sdtContent>
      <w:p w:rsidR="00443678" w:rsidRDefault="00443678">
        <w:pPr>
          <w:pStyle w:val="Piedepgina"/>
          <w:jc w:val="right"/>
        </w:pPr>
        <w:r>
          <w:rPr>
            <w:noProof/>
          </w:rPr>
          <w:fldChar w:fldCharType="begin"/>
        </w:r>
        <w:r>
          <w:rPr>
            <w:noProof/>
          </w:rPr>
          <w:instrText xml:space="preserve"> PAGE   \* MERGEFORMAT </w:instrText>
        </w:r>
        <w:r>
          <w:rPr>
            <w:noProof/>
          </w:rPr>
          <w:fldChar w:fldCharType="separate"/>
        </w:r>
        <w:r w:rsidR="005B249F">
          <w:rPr>
            <w:noProof/>
          </w:rPr>
          <w:t>34</w:t>
        </w:r>
        <w:r>
          <w:rPr>
            <w:noProof/>
          </w:rPr>
          <w:fldChar w:fldCharType="end"/>
        </w:r>
      </w:p>
    </w:sdtContent>
  </w:sdt>
  <w:p w:rsidR="00443678" w:rsidRDefault="0044367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0B3" w:rsidRDefault="004420B3" w:rsidP="00FC5B84">
      <w:pPr>
        <w:spacing w:after="0" w:line="240" w:lineRule="auto"/>
      </w:pPr>
      <w:r>
        <w:separator/>
      </w:r>
    </w:p>
  </w:footnote>
  <w:footnote w:type="continuationSeparator" w:id="0">
    <w:p w:rsidR="004420B3" w:rsidRDefault="004420B3" w:rsidP="00FC5B84">
      <w:pPr>
        <w:spacing w:after="0" w:line="240" w:lineRule="auto"/>
      </w:pPr>
      <w:r>
        <w:continuationSeparator/>
      </w:r>
    </w:p>
  </w:footnote>
  <w:footnote w:id="1">
    <w:p w:rsidR="00443678" w:rsidRPr="008A0B2F" w:rsidRDefault="00443678" w:rsidP="00B208ED">
      <w:pPr>
        <w:pStyle w:val="Textonotapie"/>
        <w:rPr>
          <w:u w:val="single"/>
        </w:rPr>
      </w:pPr>
      <w:r>
        <w:rPr>
          <w:rStyle w:val="Refdenotaalpie"/>
        </w:rPr>
        <w:footnoteRef/>
      </w:r>
      <w:r>
        <w:t xml:space="preserve"> Visite nuestra página </w:t>
      </w:r>
      <w:r w:rsidRPr="008A0B2F">
        <w:rPr>
          <w:u w:val="single"/>
        </w:rPr>
        <w:t xml:space="preserve">www.monitorciudadano.co/ </w:t>
      </w:r>
    </w:p>
  </w:footnote>
  <w:footnote w:id="2">
    <w:p w:rsidR="00443678" w:rsidRDefault="00443678" w:rsidP="00B208ED">
      <w:pPr>
        <w:pStyle w:val="Textonotapie"/>
      </w:pPr>
      <w:r>
        <w:rPr>
          <w:rStyle w:val="Refdenotaalpie"/>
        </w:rPr>
        <w:footnoteRef/>
      </w:r>
      <w:r>
        <w:t xml:space="preserve"> Ver más del primer informe de Monitor Ciudadano en : </w:t>
      </w:r>
      <w:hyperlink r:id="rId1" w:history="1">
        <w:r w:rsidRPr="00F8049B">
          <w:rPr>
            <w:rStyle w:val="Hipervnculo"/>
            <w:color w:val="000000" w:themeColor="text1"/>
          </w:rPr>
          <w:t>http://www.monitorciudadano.co/documentos/corrupcion_en_territorios_de_paz.pdf</w:t>
        </w:r>
      </w:hyperlink>
      <w:r>
        <w:t xml:space="preserve"> </w:t>
      </w:r>
    </w:p>
  </w:footnote>
  <w:footnote w:id="3">
    <w:p w:rsidR="00443678" w:rsidRDefault="00443678" w:rsidP="00B208ED">
      <w:pPr>
        <w:pStyle w:val="Textonotapie"/>
      </w:pPr>
      <w:r>
        <w:rPr>
          <w:rStyle w:val="Refdenotaalpie"/>
        </w:rPr>
        <w:footnoteRef/>
      </w:r>
      <w:r>
        <w:t xml:space="preserve"> Puede consultar los dos informes ingresando en el siguiente link:</w:t>
      </w:r>
      <w:r w:rsidRPr="00B5527D">
        <w:t xml:space="preserve"> </w:t>
      </w:r>
      <w:r w:rsidRPr="008A0B2F">
        <w:rPr>
          <w:u w:val="single"/>
        </w:rPr>
        <w:t>http://www.monitorciudadano.co/</w:t>
      </w:r>
    </w:p>
  </w:footnote>
  <w:footnote w:id="4">
    <w:p w:rsidR="00443678" w:rsidRDefault="00443678" w:rsidP="00B208ED">
      <w:pPr>
        <w:pStyle w:val="Textonotapie"/>
        <w:jc w:val="both"/>
      </w:pPr>
      <w:r>
        <w:rPr>
          <w:rStyle w:val="Refdenotaalpie"/>
        </w:rPr>
        <w:footnoteRef/>
      </w:r>
      <w:r>
        <w:t xml:space="preserve"> Se hará referencia a hechos alertados y/o reportados por los medios de comunicación nacionales y regionales en relación a cubrimiento y periodismo investigativo de los mismos, junto con hechos reportados por los Órganos de Control. </w:t>
      </w:r>
    </w:p>
  </w:footnote>
  <w:footnote w:id="5">
    <w:p w:rsidR="00443678" w:rsidRDefault="00443678" w:rsidP="00EA4806">
      <w:pPr>
        <w:pStyle w:val="Textonotapie"/>
        <w:jc w:val="both"/>
      </w:pPr>
      <w:r>
        <w:rPr>
          <w:rStyle w:val="Refdenotaalpie"/>
        </w:rPr>
        <w:footnoteRef/>
      </w:r>
      <w:r>
        <w:t xml:space="preserve"> Puede consultar los conceptos y tipo de corrupción utilizados en la </w:t>
      </w:r>
      <w:r w:rsidRPr="00215E91">
        <w:rPr>
          <w:b/>
          <w:u w:val="single"/>
        </w:rPr>
        <w:t>ficha metodológica</w:t>
      </w:r>
      <w:r>
        <w:t xml:space="preserve"> #1 numeral 2 </w:t>
      </w:r>
    </w:p>
  </w:footnote>
  <w:footnote w:id="6">
    <w:p w:rsidR="00443678" w:rsidRDefault="00443678" w:rsidP="00EA4806">
      <w:pPr>
        <w:pStyle w:val="Textonotapie"/>
        <w:jc w:val="both"/>
      </w:pPr>
      <w:r>
        <w:rPr>
          <w:rStyle w:val="Refdenotaalpie"/>
        </w:rPr>
        <w:footnoteRef/>
      </w:r>
      <w:r>
        <w:t xml:space="preserve"> Casos como la captura del exfiscal Anticorrupción-Luis Gustavo Moreno-que posteriormente desataron el llamado “Cartel de la Toga”; hechos de corrupción en el Programa de Alimentación Escolar-PAE; Alumnos Fantasmas en la educación, carteles en la salud originados en diversas regiones del país; casos de corrupción política y electoral; entre muchos otros.</w:t>
      </w:r>
    </w:p>
  </w:footnote>
  <w:footnote w:id="7">
    <w:p w:rsidR="00443678" w:rsidRDefault="00443678" w:rsidP="00EA4806">
      <w:pPr>
        <w:pStyle w:val="Textonotapie"/>
        <w:jc w:val="both"/>
      </w:pPr>
      <w:r>
        <w:rPr>
          <w:rStyle w:val="Refdenotaalpie"/>
        </w:rPr>
        <w:footnoteRef/>
      </w:r>
      <w:r>
        <w:t xml:space="preserve"> Ver en anexo 1 mayor información de todas las fuentes de prensa consultadas para este informe. Las   categorías de selección de notas de prensa pueden ser consultadas en la </w:t>
      </w:r>
      <w:r w:rsidRPr="00215E91">
        <w:rPr>
          <w:b/>
          <w:u w:val="single"/>
        </w:rPr>
        <w:t>ficha metodológica</w:t>
      </w:r>
      <w:r>
        <w:t xml:space="preserve"> </w:t>
      </w:r>
    </w:p>
  </w:footnote>
  <w:footnote w:id="8">
    <w:p w:rsidR="00443678" w:rsidRDefault="00443678" w:rsidP="003D0678">
      <w:pPr>
        <w:pStyle w:val="Textonotapie"/>
        <w:jc w:val="both"/>
      </w:pPr>
      <w:r>
        <w:rPr>
          <w:rStyle w:val="Refdenotaalpie"/>
        </w:rPr>
        <w:footnoteRef/>
      </w:r>
      <w:r>
        <w:t xml:space="preserve"> El total de notas de prensa recopiladas, analizadas y sistematizadas fue de 493. Con base a dichas notas fue posible reconstruir los 327 hechos de corrupción ya mencionados. Los datos recopilados en el presente informe </w:t>
      </w:r>
      <w:r w:rsidRPr="003D0678">
        <w:t>corresponde</w:t>
      </w:r>
      <w:r>
        <w:t>n</w:t>
      </w:r>
      <w:r w:rsidRPr="003D0678">
        <w:t xml:space="preserve"> a una mirada con base al reporte periodístico de casos de corrupción y no a la totalidad de hechos que ocurrieron en el país. No obstante, este diagnóstico brinda un mapa de análisis pertinente del comportamiento de la corrupción en Colombia en estos dos años. </w:t>
      </w:r>
      <w:r>
        <w:t xml:space="preserve">Para conocer el listado de medios y número de notas de prensa ver pp. 36 tabla 9.1 </w:t>
      </w:r>
    </w:p>
  </w:footnote>
  <w:footnote w:id="9">
    <w:p w:rsidR="00443678" w:rsidRPr="00215E91" w:rsidRDefault="00443678">
      <w:pPr>
        <w:pStyle w:val="Textonotapie"/>
        <w:rPr>
          <w:u w:val="single"/>
        </w:rPr>
      </w:pPr>
      <w:r>
        <w:rPr>
          <w:rStyle w:val="Refdenotaalpie"/>
        </w:rPr>
        <w:footnoteRef/>
      </w:r>
      <w:r>
        <w:t xml:space="preserve"> Ver pp. 20. Corrupción en Territorios de paz. Monitor Ciudadano 2017. </w:t>
      </w:r>
      <w:r w:rsidRPr="00215E91">
        <w:rPr>
          <w:u w:val="single"/>
        </w:rPr>
        <w:t>http://www.monitorciudadano.co/documentos/corrupcion_en_territorios_de_paz.pdf</w:t>
      </w:r>
    </w:p>
  </w:footnote>
  <w:footnote w:id="10">
    <w:p w:rsidR="00443678" w:rsidRPr="00662567" w:rsidRDefault="00443678">
      <w:pPr>
        <w:pStyle w:val="Textonotapie"/>
        <w:rPr>
          <w:lang w:val="en-US"/>
        </w:rPr>
      </w:pPr>
      <w:r>
        <w:rPr>
          <w:rStyle w:val="Refdenotaalpie"/>
        </w:rPr>
        <w:footnoteRef/>
      </w:r>
      <w:r>
        <w:t xml:space="preserve"> Ver Informe </w:t>
      </w:r>
      <w:r>
        <w:rPr>
          <w:i/>
        </w:rPr>
        <w:t xml:space="preserve">Corrupción en Territorios de paz. </w:t>
      </w:r>
      <w:r w:rsidRPr="00215E91">
        <w:rPr>
          <w:lang w:val="en-US"/>
        </w:rPr>
        <w:t xml:space="preserve">Pp. 46. </w:t>
      </w:r>
      <w:hyperlink r:id="rId2" w:history="1">
        <w:r w:rsidRPr="00662567">
          <w:rPr>
            <w:rStyle w:val="Hipervnculo"/>
            <w:color w:val="000000" w:themeColor="text1"/>
            <w:lang w:val="en-US"/>
          </w:rPr>
          <w:t>http://www.monitorciudadano.co/documentos/corrupcion_en_territorios_de_paz.pdf</w:t>
        </w:r>
      </w:hyperlink>
      <w:r w:rsidRPr="00662567">
        <w:rPr>
          <w:lang w:val="en-US"/>
        </w:rPr>
        <w:t xml:space="preserve">. </w:t>
      </w:r>
    </w:p>
  </w:footnote>
  <w:footnote w:id="11">
    <w:p w:rsidR="00443678" w:rsidRPr="00215E91" w:rsidRDefault="00443678" w:rsidP="00215E91">
      <w:pPr>
        <w:pStyle w:val="Textonotapie"/>
        <w:jc w:val="both"/>
      </w:pPr>
      <w:r>
        <w:rPr>
          <w:rStyle w:val="Refdenotaalpie"/>
        </w:rPr>
        <w:footnoteRef/>
      </w:r>
      <w:r>
        <w:t xml:space="preserve"> Desde el Monitor Ciudadano se entienden los </w:t>
      </w:r>
      <w:r w:rsidRPr="00215E91">
        <w:rPr>
          <w:b/>
          <w:i/>
        </w:rPr>
        <w:t>Hechos municipales</w:t>
      </w:r>
      <w:r>
        <w:t xml:space="preserve"> como aquellos ocurridos en un municipio</w:t>
      </w:r>
      <w:r w:rsidRPr="00215E91">
        <w:t xml:space="preserve"> en específico. Se relacionan con irregularidades con recursos públicos, obras, fraudes electorales o sanciones e inhabilidades de funcionario</w:t>
      </w:r>
      <w:r>
        <w:t xml:space="preserve">s públicos del nivel municipal. Los </w:t>
      </w:r>
      <w:r w:rsidRPr="00215E91">
        <w:rPr>
          <w:b/>
          <w:i/>
        </w:rPr>
        <w:t>Hechos de alcance departamental</w:t>
      </w:r>
      <w:r>
        <w:t xml:space="preserve"> son a</w:t>
      </w:r>
      <w:r w:rsidRPr="00215E91">
        <w:t>quellos que destacan una irregularidad que involucra al departamento en general y en los cuales se dieron hechos de corrupción que comprometieron recursos departamentales, procesos electorales departamentales y a la instituci</w:t>
      </w:r>
      <w:r>
        <w:t xml:space="preserve">onalidad pública departamental. Por último, los </w:t>
      </w:r>
      <w:r w:rsidRPr="00215E91">
        <w:rPr>
          <w:b/>
          <w:i/>
        </w:rPr>
        <w:t>hechos de alcance naciona</w:t>
      </w:r>
      <w:r>
        <w:t>l son a</w:t>
      </w:r>
      <w:r w:rsidRPr="00215E91">
        <w:t>quellos que revelan irregularidades o prácticas corruptas en más de un departamento, involucran a una entidad pública del orden nacional o el accionar de los actores se dio de manera extendida en varias regiones del país.</w:t>
      </w:r>
    </w:p>
    <w:p w:rsidR="00443678" w:rsidRDefault="00443678">
      <w:pPr>
        <w:pStyle w:val="Textonotapie"/>
      </w:pPr>
    </w:p>
  </w:footnote>
  <w:footnote w:id="12">
    <w:p w:rsidR="00443678" w:rsidRPr="00136997" w:rsidRDefault="00443678" w:rsidP="00136997">
      <w:pPr>
        <w:pStyle w:val="Textonotapie"/>
        <w:jc w:val="both"/>
      </w:pPr>
      <w:r>
        <w:rPr>
          <w:rStyle w:val="Refdenotaalpie"/>
        </w:rPr>
        <w:footnoteRef/>
      </w:r>
      <w:r>
        <w:t xml:space="preserve"> E</w:t>
      </w:r>
      <w:r w:rsidRPr="00136997">
        <w:t>l Monitor Ciudadano ha tomado como referencia conceptual la</w:t>
      </w:r>
      <w:r>
        <w:t>s</w:t>
      </w:r>
      <w:r w:rsidRPr="00136997">
        <w:t xml:space="preserve"> siguiente</w:t>
      </w:r>
      <w:r>
        <w:t xml:space="preserve">s cinco tipologías de clasificación </w:t>
      </w:r>
      <w:r w:rsidRPr="00136997">
        <w:t>sobre el alcance de los hechos de corrupción y el tipo de actores que intervienen en el proceso</w:t>
      </w:r>
      <w:r>
        <w:t xml:space="preserve">. Estas fueron 1.) Corrupción Administrativa, 2.) Corrupción Privada, 3.) Corrupción Política, 4.) Corrupción Judicial y 5,) Captura del Estado. En el anexo metodológico #1 podrá conocer a profundidad los conceptos amplios de dichas tipologías.  </w:t>
      </w:r>
    </w:p>
  </w:footnote>
  <w:footnote w:id="13">
    <w:p w:rsidR="00443678" w:rsidRDefault="00443678" w:rsidP="00254EA1">
      <w:pPr>
        <w:pStyle w:val="Textonotapie"/>
        <w:rPr>
          <w:sz w:val="18"/>
          <w:szCs w:val="18"/>
        </w:rPr>
      </w:pPr>
      <w:r>
        <w:rPr>
          <w:rStyle w:val="Refdenotaalpie"/>
          <w:sz w:val="18"/>
          <w:szCs w:val="18"/>
        </w:rPr>
        <w:footnoteRef/>
      </w:r>
      <w:r>
        <w:rPr>
          <w:sz w:val="18"/>
          <w:szCs w:val="18"/>
        </w:rPr>
        <w:t xml:space="preserve"> Ver más acerca de este hecho en </w:t>
      </w:r>
      <w:hyperlink r:id="rId3" w:history="1">
        <w:r>
          <w:rPr>
            <w:rStyle w:val="Hipervnculo"/>
            <w:color w:val="000000" w:themeColor="text1"/>
            <w:sz w:val="18"/>
            <w:szCs w:val="18"/>
          </w:rPr>
          <w:t>http://www.monitorciudadano.co/explora</w:t>
        </w:r>
      </w:hyperlink>
      <w:r>
        <w:rPr>
          <w:sz w:val="18"/>
          <w:szCs w:val="18"/>
        </w:rPr>
        <w:t xml:space="preserve"> </w:t>
      </w:r>
    </w:p>
  </w:footnote>
  <w:footnote w:id="14">
    <w:p w:rsidR="00443678" w:rsidRDefault="00443678" w:rsidP="005D3B5B">
      <w:pPr>
        <w:pStyle w:val="Textonotapie"/>
        <w:rPr>
          <w:sz w:val="18"/>
          <w:szCs w:val="18"/>
        </w:rPr>
      </w:pPr>
      <w:r>
        <w:rPr>
          <w:rStyle w:val="Refdenotaalpie"/>
          <w:sz w:val="18"/>
          <w:szCs w:val="18"/>
        </w:rPr>
        <w:footnoteRef/>
      </w:r>
      <w:r>
        <w:rPr>
          <w:sz w:val="18"/>
          <w:szCs w:val="18"/>
        </w:rPr>
        <w:t xml:space="preserve"> Ver más acerca de este hecho en </w:t>
      </w:r>
      <w:hyperlink r:id="rId4" w:history="1">
        <w:r>
          <w:rPr>
            <w:rStyle w:val="Hipervnculo"/>
            <w:color w:val="000000" w:themeColor="text1"/>
            <w:sz w:val="18"/>
            <w:szCs w:val="18"/>
          </w:rPr>
          <w:t>http://www.monitorciudadano.co/explora</w:t>
        </w:r>
      </w:hyperlink>
      <w:r>
        <w:rPr>
          <w:sz w:val="18"/>
          <w:szCs w:val="18"/>
        </w:rPr>
        <w:t xml:space="preserve"> </w:t>
      </w:r>
    </w:p>
  </w:footnote>
  <w:footnote w:id="15">
    <w:p w:rsidR="00443678" w:rsidRDefault="00443678" w:rsidP="00B25FF6">
      <w:pPr>
        <w:pStyle w:val="Textonotapie"/>
        <w:rPr>
          <w:sz w:val="18"/>
          <w:szCs w:val="18"/>
        </w:rPr>
      </w:pPr>
      <w:r>
        <w:rPr>
          <w:rStyle w:val="Refdenotaalpie"/>
          <w:sz w:val="18"/>
          <w:szCs w:val="18"/>
        </w:rPr>
        <w:footnoteRef/>
      </w:r>
      <w:r>
        <w:rPr>
          <w:sz w:val="18"/>
          <w:szCs w:val="18"/>
        </w:rPr>
        <w:t xml:space="preserve"> Ver más acerca de este hecho en http://www.monitorciudadano.co/explora</w:t>
      </w:r>
    </w:p>
  </w:footnote>
  <w:footnote w:id="16">
    <w:p w:rsidR="00443678" w:rsidRDefault="00443678" w:rsidP="00B25FF6">
      <w:pPr>
        <w:pStyle w:val="Textonotapie"/>
        <w:rPr>
          <w:sz w:val="18"/>
          <w:szCs w:val="18"/>
        </w:rPr>
      </w:pPr>
      <w:r>
        <w:rPr>
          <w:rStyle w:val="Refdenotaalpie"/>
          <w:sz w:val="18"/>
          <w:szCs w:val="18"/>
        </w:rPr>
        <w:footnoteRef/>
      </w:r>
      <w:r>
        <w:rPr>
          <w:sz w:val="18"/>
          <w:szCs w:val="18"/>
        </w:rPr>
        <w:t xml:space="preserve"> Ver más acerca de este hecho en http://www.monitorciudadano.co/explora</w:t>
      </w:r>
    </w:p>
  </w:footnote>
  <w:footnote w:id="17">
    <w:p w:rsidR="00443678" w:rsidRDefault="00443678" w:rsidP="00254EA1">
      <w:pPr>
        <w:pStyle w:val="Textonotapie"/>
        <w:rPr>
          <w:sz w:val="18"/>
          <w:szCs w:val="18"/>
        </w:rPr>
      </w:pPr>
      <w:r>
        <w:rPr>
          <w:rStyle w:val="Refdenotaalpie"/>
          <w:sz w:val="18"/>
          <w:szCs w:val="18"/>
        </w:rPr>
        <w:footnoteRef/>
      </w:r>
      <w:r>
        <w:rPr>
          <w:sz w:val="18"/>
          <w:szCs w:val="18"/>
        </w:rPr>
        <w:t xml:space="preserve"> Ver más acerca de este hecho en http://www.monitorciudadano.co/explora</w:t>
      </w:r>
    </w:p>
  </w:footnote>
  <w:footnote w:id="18">
    <w:p w:rsidR="00443678" w:rsidRDefault="00443678" w:rsidP="00E069B2">
      <w:pPr>
        <w:pStyle w:val="Textonotapie"/>
        <w:jc w:val="both"/>
      </w:pPr>
      <w:r>
        <w:rPr>
          <w:rStyle w:val="Refdenotaalpie"/>
        </w:rPr>
        <w:footnoteRef/>
      </w:r>
      <w:r>
        <w:t xml:space="preserve"> Es importante aclarar el riesgo que representan las nóminas paralelas en la función pública cuando se dan por fines políticos o a cambio de deudas electorales para respaldar candidatos. No obstante, se entiende que si bien el abuso de la contratación directa es un riesgo, no toda la contratación directa de personal o consultores mediante la modalidad de prestación de servicios constituya la confirmación de una nómina paralela intencionada en diversas entidades. </w:t>
      </w:r>
    </w:p>
  </w:footnote>
  <w:footnote w:id="19">
    <w:p w:rsidR="00443678" w:rsidRDefault="00443678" w:rsidP="00254EA1">
      <w:pPr>
        <w:pStyle w:val="Textonotapie"/>
        <w:rPr>
          <w:sz w:val="18"/>
          <w:szCs w:val="18"/>
        </w:rPr>
      </w:pPr>
      <w:r>
        <w:rPr>
          <w:rStyle w:val="Refdenotaalpie"/>
          <w:sz w:val="18"/>
          <w:szCs w:val="18"/>
        </w:rPr>
        <w:footnoteRef/>
      </w:r>
      <w:r>
        <w:rPr>
          <w:sz w:val="18"/>
          <w:szCs w:val="18"/>
        </w:rPr>
        <w:t xml:space="preserve"> Ver más acerca de este hecho en http://www.monitorciudadano.co/explora</w:t>
      </w:r>
    </w:p>
  </w:footnote>
  <w:footnote w:id="20">
    <w:p w:rsidR="00443678" w:rsidRDefault="00443678" w:rsidP="00254EA1">
      <w:pPr>
        <w:pStyle w:val="Textonotapie"/>
        <w:rPr>
          <w:sz w:val="18"/>
          <w:szCs w:val="18"/>
        </w:rPr>
      </w:pPr>
      <w:r>
        <w:rPr>
          <w:rStyle w:val="Refdenotaalpie"/>
          <w:sz w:val="18"/>
          <w:szCs w:val="18"/>
        </w:rPr>
        <w:footnoteRef/>
      </w:r>
      <w:r>
        <w:rPr>
          <w:sz w:val="18"/>
          <w:szCs w:val="18"/>
        </w:rPr>
        <w:t xml:space="preserve"> Ver más acerca de este hecho en http://www.monitorciudadano.co/explora</w:t>
      </w:r>
    </w:p>
  </w:footnote>
  <w:footnote w:id="21">
    <w:p w:rsidR="00443678" w:rsidRPr="004B1F23" w:rsidRDefault="00443678" w:rsidP="00163B98">
      <w:pPr>
        <w:pStyle w:val="Textonotapie"/>
        <w:jc w:val="both"/>
        <w:rPr>
          <w:sz w:val="18"/>
          <w:szCs w:val="18"/>
        </w:rPr>
      </w:pPr>
      <w:r w:rsidRPr="006662CB">
        <w:rPr>
          <w:rStyle w:val="Refdenotaalpie"/>
          <w:sz w:val="18"/>
          <w:szCs w:val="18"/>
        </w:rPr>
        <w:footnoteRef/>
      </w:r>
      <w:r w:rsidRPr="006662CB">
        <w:rPr>
          <w:sz w:val="18"/>
          <w:szCs w:val="18"/>
        </w:rPr>
        <w:t xml:space="preserve"> El DAFP posiciona 24 sectores administrativos. Se adicionaron dos categorías importantes que entran a ser parte de los sectores de análisis. Uno relacionado con temas electorales en relación al certamen democrático (Sector Electoral y/o elecciones) y otro vinculado a la función pública, el cual se relaciona a las conductas y acciones de los servidores públicos en su labor. </w:t>
      </w:r>
      <w:r>
        <w:rPr>
          <w:sz w:val="18"/>
          <w:szCs w:val="18"/>
        </w:rPr>
        <w:t xml:space="preserve">Para conocer más sobre los sectores utilizados visite la </w:t>
      </w:r>
      <w:r w:rsidRPr="00E37834">
        <w:rPr>
          <w:b/>
          <w:sz w:val="18"/>
          <w:szCs w:val="18"/>
          <w:u w:val="single"/>
        </w:rPr>
        <w:t>ficha metodológica</w:t>
      </w:r>
      <w:r>
        <w:rPr>
          <w:sz w:val="18"/>
          <w:szCs w:val="18"/>
        </w:rPr>
        <w:t xml:space="preserve"> </w:t>
      </w:r>
    </w:p>
  </w:footnote>
  <w:footnote w:id="22">
    <w:p w:rsidR="00443678" w:rsidRPr="00E37834" w:rsidRDefault="00443678" w:rsidP="0018690F">
      <w:pPr>
        <w:pStyle w:val="Textonotapie"/>
        <w:jc w:val="both"/>
        <w:rPr>
          <w:sz w:val="18"/>
          <w:szCs w:val="18"/>
        </w:rPr>
      </w:pPr>
      <w:r>
        <w:rPr>
          <w:rStyle w:val="Refdenotaalpie"/>
        </w:rPr>
        <w:footnoteRef/>
      </w:r>
      <w:r>
        <w:t xml:space="preserve"> </w:t>
      </w:r>
      <w:r w:rsidRPr="00E37834">
        <w:rPr>
          <w:sz w:val="18"/>
          <w:szCs w:val="18"/>
        </w:rPr>
        <w:t>Datos obtenidos del Ministerio de Hacienda. Ver la tabla completa por sectores</w:t>
      </w:r>
      <w:r>
        <w:rPr>
          <w:sz w:val="18"/>
          <w:szCs w:val="18"/>
        </w:rPr>
        <w:t xml:space="preserve"> en el anexo de tablas página 35</w:t>
      </w:r>
      <w:r w:rsidRPr="00E37834">
        <w:rPr>
          <w:sz w:val="18"/>
          <w:szCs w:val="18"/>
        </w:rPr>
        <w:t>. Este presupuesto es sectorial (inversión+funcionamiento+transferencias) del Presupuesto General de la</w:t>
      </w:r>
      <w:r>
        <w:rPr>
          <w:sz w:val="18"/>
          <w:szCs w:val="18"/>
        </w:rPr>
        <w:t xml:space="preserve"> Nación (Presupuesto Nacional más </w:t>
      </w:r>
      <w:r w:rsidRPr="00E37834">
        <w:rPr>
          <w:sz w:val="18"/>
          <w:szCs w:val="18"/>
        </w:rPr>
        <w:t>Transferencias territoriales), por lo cual se refiere al presupuesto del nivel nacional pero no incluye la inversión territorial</w:t>
      </w:r>
      <w:r>
        <w:rPr>
          <w:sz w:val="18"/>
          <w:szCs w:val="18"/>
        </w:rPr>
        <w:t>.</w:t>
      </w:r>
    </w:p>
  </w:footnote>
  <w:footnote w:id="23">
    <w:p w:rsidR="00443678" w:rsidRDefault="00443678">
      <w:pPr>
        <w:pStyle w:val="Textonotapie"/>
      </w:pPr>
      <w:r w:rsidRPr="00E37834">
        <w:rPr>
          <w:sz w:val="18"/>
          <w:szCs w:val="18"/>
        </w:rPr>
        <w:footnoteRef/>
      </w:r>
      <w:r w:rsidRPr="00E37834">
        <w:rPr>
          <w:sz w:val="18"/>
          <w:szCs w:val="18"/>
        </w:rPr>
        <w:t xml:space="preserve"> Ver tabl</w:t>
      </w:r>
      <w:r>
        <w:rPr>
          <w:sz w:val="18"/>
          <w:szCs w:val="18"/>
        </w:rPr>
        <w:t xml:space="preserve">a de anexos y gráficas página 35. </w:t>
      </w:r>
    </w:p>
  </w:footnote>
  <w:footnote w:id="24">
    <w:p w:rsidR="00443678" w:rsidRDefault="00443678">
      <w:pPr>
        <w:pStyle w:val="Textonotapie"/>
      </w:pPr>
      <w:r>
        <w:rPr>
          <w:rStyle w:val="Refdenotaalpie"/>
        </w:rPr>
        <w:footnoteRef/>
      </w:r>
      <w:r>
        <w:t xml:space="preserve"> Ver tabla de anexos y gráficas página 35. </w:t>
      </w:r>
    </w:p>
  </w:footnote>
  <w:footnote w:id="25">
    <w:p w:rsidR="00443678" w:rsidRPr="004B1F23" w:rsidRDefault="00443678" w:rsidP="0072674C">
      <w:pPr>
        <w:pStyle w:val="Textonotapie"/>
        <w:jc w:val="both"/>
        <w:rPr>
          <w:sz w:val="18"/>
          <w:szCs w:val="18"/>
        </w:rPr>
      </w:pPr>
      <w:r w:rsidRPr="006662CB">
        <w:rPr>
          <w:rStyle w:val="Refdenotaalpie"/>
          <w:sz w:val="18"/>
          <w:szCs w:val="18"/>
        </w:rPr>
        <w:footnoteRef/>
      </w:r>
      <w:r w:rsidRPr="006662CB">
        <w:rPr>
          <w:sz w:val="18"/>
          <w:szCs w:val="18"/>
        </w:rPr>
        <w:t xml:space="preserve"> Se entiende por actores</w:t>
      </w:r>
      <w:r>
        <w:rPr>
          <w:sz w:val="18"/>
          <w:szCs w:val="18"/>
        </w:rPr>
        <w:t xml:space="preserve"> </w:t>
      </w:r>
      <w:r w:rsidRPr="006662CB">
        <w:rPr>
          <w:sz w:val="18"/>
          <w:szCs w:val="18"/>
        </w:rPr>
        <w:t xml:space="preserve">-tanto individuales o colectivos- </w:t>
      </w:r>
      <w:r>
        <w:rPr>
          <w:sz w:val="18"/>
          <w:szCs w:val="18"/>
        </w:rPr>
        <w:t xml:space="preserve">aquellos </w:t>
      </w:r>
      <w:r w:rsidRPr="006662CB">
        <w:rPr>
          <w:sz w:val="18"/>
          <w:szCs w:val="18"/>
        </w:rPr>
        <w:t xml:space="preserve">vinculados o que participaron en la comisión del delito o de los delitos presentados en la descripción del hecho de corrupción. Asimismo, se debe tomar en cuenta que en algunos casos un actor involucrado puede estar relacionado </w:t>
      </w:r>
      <w:r>
        <w:rPr>
          <w:sz w:val="18"/>
          <w:szCs w:val="18"/>
        </w:rPr>
        <w:t xml:space="preserve">en más de un </w:t>
      </w:r>
      <w:r w:rsidRPr="006662CB">
        <w:rPr>
          <w:sz w:val="18"/>
          <w:szCs w:val="18"/>
        </w:rPr>
        <w:t>hecho de corrupción. Por lo tanto, las cifras que se presentan en esta sección recogen los actores relacionados con por lo menos un hecho de corrupción.</w:t>
      </w:r>
    </w:p>
  </w:footnote>
  <w:footnote w:id="26">
    <w:p w:rsidR="00443678" w:rsidRDefault="00443678" w:rsidP="00F1521D">
      <w:pPr>
        <w:pStyle w:val="Textonotapie"/>
      </w:pPr>
      <w:r>
        <w:rPr>
          <w:rStyle w:val="Refdenotaalpie"/>
        </w:rPr>
        <w:footnoteRef/>
      </w:r>
      <w:r>
        <w:t xml:space="preserve"> Transparencia por Colombia (2018). 15 años de hallazgos a la institucionalidad Colombiana. (En línea). Disponible en: </w:t>
      </w:r>
      <w:hyperlink r:id="rId5" w:history="1">
        <w:r w:rsidRPr="00F1521D">
          <w:rPr>
            <w:rStyle w:val="Hipervnculo"/>
            <w:color w:val="000000" w:themeColor="text1"/>
          </w:rPr>
          <w:t>http://indicedetransparencia.org.co/Portals/0/Documentos/ITEP%2015an%CC%83os%20(1).pdf</w:t>
        </w:r>
      </w:hyperlink>
      <w:r>
        <w:t xml:space="preserve"> </w:t>
      </w:r>
    </w:p>
  </w:footnote>
  <w:footnote w:id="27">
    <w:p w:rsidR="00443678" w:rsidRPr="00EA6DCB" w:rsidRDefault="00443678" w:rsidP="00687649">
      <w:pPr>
        <w:pStyle w:val="Textonotapie"/>
      </w:pPr>
      <w:r w:rsidRPr="00EA6DCB">
        <w:rPr>
          <w:rStyle w:val="Refdenotaalpie"/>
        </w:rPr>
        <w:footnoteRef/>
      </w:r>
      <w:r w:rsidRPr="00EA6DCB">
        <w:t xml:space="preserve"> Los cuales se encuentran definidos en Título XV del Código Penal colombiano</w:t>
      </w:r>
    </w:p>
  </w:footnote>
  <w:footnote w:id="28">
    <w:p w:rsidR="005B249F" w:rsidRDefault="005B249F">
      <w:pPr>
        <w:pStyle w:val="Textonotapie"/>
      </w:pPr>
      <w:r>
        <w:rPr>
          <w:rStyle w:val="Refdenotaalpie"/>
        </w:rPr>
        <w:footnoteRef/>
      </w:r>
      <w:r>
        <w:t xml:space="preserve"> </w:t>
      </w:r>
      <w:r w:rsidRPr="005B249F">
        <w:t>(Garay Salamanca, Salcedo-Albarán, &amp; Macías, 2018; Garay-Salamanca L. J., 2018).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678" w:rsidRDefault="00443678" w:rsidP="00D021E4">
    <w:pPr>
      <w:pStyle w:val="Encabezado"/>
      <w:jc w:val="center"/>
    </w:pPr>
    <w:r>
      <w:rPr>
        <w:noProof/>
        <w:lang w:eastAsia="es-CO"/>
      </w:rPr>
      <w:drawing>
        <wp:inline distT="0" distB="0" distL="0" distR="0">
          <wp:extent cx="2228850" cy="708400"/>
          <wp:effectExtent l="19050" t="0" r="0" b="0"/>
          <wp:docPr id="4" name="3 Imagen" descr="TPC20-HORIZONT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C20-HORIZONTAL-V2.jpg"/>
                  <pic:cNvPicPr/>
                </pic:nvPicPr>
                <pic:blipFill>
                  <a:blip r:embed="rId1"/>
                  <a:stretch>
                    <a:fillRect/>
                  </a:stretch>
                </pic:blipFill>
                <pic:spPr>
                  <a:xfrm>
                    <a:off x="0" y="0"/>
                    <a:ext cx="2228850" cy="708400"/>
                  </a:xfrm>
                  <a:prstGeom prst="rect">
                    <a:avLst/>
                  </a:prstGeom>
                </pic:spPr>
              </pic:pic>
            </a:graphicData>
          </a:graphic>
        </wp:inline>
      </w:drawing>
    </w:r>
    <w:r>
      <w:rPr>
        <w:noProof/>
        <w:lang w:eastAsia="es-CO"/>
      </w:rPr>
      <w:drawing>
        <wp:inline distT="0" distB="0" distL="0" distR="0">
          <wp:extent cx="2357663" cy="657225"/>
          <wp:effectExtent l="19050" t="0" r="4537" b="0"/>
          <wp:docPr id="8" name="7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2"/>
                  <a:stretch>
                    <a:fillRect/>
                  </a:stretch>
                </pic:blipFill>
                <pic:spPr>
                  <a:xfrm>
                    <a:off x="0" y="0"/>
                    <a:ext cx="2362531" cy="658582"/>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842EE"/>
    <w:multiLevelType w:val="hybridMultilevel"/>
    <w:tmpl w:val="DFDA4400"/>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198387A"/>
    <w:multiLevelType w:val="hybridMultilevel"/>
    <w:tmpl w:val="A5368E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6904996"/>
    <w:multiLevelType w:val="hybridMultilevel"/>
    <w:tmpl w:val="AC141A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98A494C"/>
    <w:multiLevelType w:val="hybridMultilevel"/>
    <w:tmpl w:val="EB2A2D82"/>
    <w:lvl w:ilvl="0" w:tplc="240A0001">
      <w:start w:val="1"/>
      <w:numFmt w:val="bullet"/>
      <w:lvlText w:val=""/>
      <w:lvlJc w:val="left"/>
      <w:pPr>
        <w:ind w:left="1080" w:hanging="360"/>
      </w:pPr>
      <w:rPr>
        <w:rFonts w:ascii="Symbol" w:hAnsi="Symbol"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4">
    <w:nsid w:val="35C87215"/>
    <w:multiLevelType w:val="hybridMultilevel"/>
    <w:tmpl w:val="C18CB692"/>
    <w:lvl w:ilvl="0" w:tplc="2A1A6D18">
      <w:start w:val="8"/>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5">
    <w:nsid w:val="371010AB"/>
    <w:multiLevelType w:val="multilevel"/>
    <w:tmpl w:val="550037E2"/>
    <w:lvl w:ilvl="0">
      <w:start w:val="3"/>
      <w:numFmt w:val="decimal"/>
      <w:lvlText w:val="%1"/>
      <w:lvlJc w:val="left"/>
      <w:pPr>
        <w:ind w:left="390" w:hanging="390"/>
      </w:pPr>
      <w:rPr>
        <w:rFonts w:hint="default"/>
      </w:rPr>
    </w:lvl>
    <w:lvl w:ilvl="1">
      <w:start w:val="6"/>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3E6151B5"/>
    <w:multiLevelType w:val="hybridMultilevel"/>
    <w:tmpl w:val="BE262F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4AA6A3E"/>
    <w:multiLevelType w:val="hybridMultilevel"/>
    <w:tmpl w:val="E3A6E5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5C64EFB"/>
    <w:multiLevelType w:val="hybridMultilevel"/>
    <w:tmpl w:val="636CBB92"/>
    <w:lvl w:ilvl="0" w:tplc="2EA617A4">
      <w:start w:val="6"/>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9">
    <w:nsid w:val="563E4F69"/>
    <w:multiLevelType w:val="multilevel"/>
    <w:tmpl w:val="72A0E6D2"/>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3CB383F"/>
    <w:multiLevelType w:val="hybridMultilevel"/>
    <w:tmpl w:val="1E0295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C5E2B7B"/>
    <w:multiLevelType w:val="hybridMultilevel"/>
    <w:tmpl w:val="8D3CE276"/>
    <w:lvl w:ilvl="0" w:tplc="09E01B10">
      <w:start w:val="4"/>
      <w:numFmt w:val="decimal"/>
      <w:lvlText w:val="%1."/>
      <w:lvlJc w:val="left"/>
      <w:pPr>
        <w:ind w:left="786"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729C0F53"/>
    <w:multiLevelType w:val="hybridMultilevel"/>
    <w:tmpl w:val="2B5CC190"/>
    <w:lvl w:ilvl="0" w:tplc="240A0001">
      <w:start w:val="1"/>
      <w:numFmt w:val="bullet"/>
      <w:lvlText w:val=""/>
      <w:lvlJc w:val="left"/>
      <w:pPr>
        <w:ind w:left="1080" w:hanging="360"/>
      </w:pPr>
      <w:rPr>
        <w:rFonts w:ascii="Symbol" w:hAnsi="Symbol"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13">
    <w:nsid w:val="75B90567"/>
    <w:multiLevelType w:val="multilevel"/>
    <w:tmpl w:val="C0341556"/>
    <w:lvl w:ilvl="0">
      <w:start w:val="1"/>
      <w:numFmt w:val="decimal"/>
      <w:lvlText w:val="%1."/>
      <w:lvlJc w:val="left"/>
      <w:pPr>
        <w:ind w:left="720" w:hanging="360"/>
      </w:pPr>
    </w:lvl>
    <w:lvl w:ilvl="1">
      <w:start w:val="2"/>
      <w:numFmt w:val="decimal"/>
      <w:isLgl/>
      <w:lvlText w:val="%1.%2"/>
      <w:lvlJc w:val="left"/>
      <w:pPr>
        <w:ind w:left="102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7CDB21C9"/>
    <w:multiLevelType w:val="hybridMultilevel"/>
    <w:tmpl w:val="C47C78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3"/>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7"/>
  </w:num>
  <w:num w:numId="7">
    <w:abstractNumId w:val="9"/>
  </w:num>
  <w:num w:numId="8">
    <w:abstractNumId w:val="11"/>
  </w:num>
  <w:num w:numId="9">
    <w:abstractNumId w:val="0"/>
  </w:num>
  <w:num w:numId="10">
    <w:abstractNumId w:val="8"/>
  </w:num>
  <w:num w:numId="11">
    <w:abstractNumId w:val="4"/>
  </w:num>
  <w:num w:numId="12">
    <w:abstractNumId w:val="2"/>
  </w:num>
  <w:num w:numId="13">
    <w:abstractNumId w:val="1"/>
  </w:num>
  <w:num w:numId="14">
    <w:abstractNumId w:val="10"/>
  </w:num>
  <w:num w:numId="15">
    <w:abstractNumId w:val="6"/>
  </w:num>
  <w:num w:numId="16">
    <w:abstractNumId w:val="14"/>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restrepo">
    <w15:presenceInfo w15:providerId="None" w15:userId="mrestrepo"/>
  </w15:person>
  <w15:person w15:author="Marcela Restrepo Hung">
    <w15:presenceInfo w15:providerId="Windows Live" w15:userId="e8b994a53028401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22"/>
  </w:hdrShapeDefaults>
  <w:footnotePr>
    <w:footnote w:id="-1"/>
    <w:footnote w:id="0"/>
  </w:footnotePr>
  <w:endnotePr>
    <w:endnote w:id="-1"/>
    <w:endnote w:id="0"/>
  </w:endnotePr>
  <w:compat/>
  <w:rsids>
    <w:rsidRoot w:val="00FC5B84"/>
    <w:rsid w:val="0000301B"/>
    <w:rsid w:val="00006871"/>
    <w:rsid w:val="0000717E"/>
    <w:rsid w:val="000075F2"/>
    <w:rsid w:val="00007BA5"/>
    <w:rsid w:val="00010621"/>
    <w:rsid w:val="00011A4D"/>
    <w:rsid w:val="00012966"/>
    <w:rsid w:val="0001419C"/>
    <w:rsid w:val="00022DD0"/>
    <w:rsid w:val="000274BE"/>
    <w:rsid w:val="0003044B"/>
    <w:rsid w:val="00030A4A"/>
    <w:rsid w:val="00033997"/>
    <w:rsid w:val="00035DE9"/>
    <w:rsid w:val="00037CD0"/>
    <w:rsid w:val="00042091"/>
    <w:rsid w:val="00043995"/>
    <w:rsid w:val="00044E57"/>
    <w:rsid w:val="00045624"/>
    <w:rsid w:val="00046F14"/>
    <w:rsid w:val="0005045D"/>
    <w:rsid w:val="000557A7"/>
    <w:rsid w:val="00055E86"/>
    <w:rsid w:val="00056311"/>
    <w:rsid w:val="0005758E"/>
    <w:rsid w:val="00057CC0"/>
    <w:rsid w:val="00060141"/>
    <w:rsid w:val="00064F73"/>
    <w:rsid w:val="000651D4"/>
    <w:rsid w:val="00072B08"/>
    <w:rsid w:val="00073D0C"/>
    <w:rsid w:val="00073FB8"/>
    <w:rsid w:val="000771E0"/>
    <w:rsid w:val="00077609"/>
    <w:rsid w:val="00080209"/>
    <w:rsid w:val="00087B20"/>
    <w:rsid w:val="00093139"/>
    <w:rsid w:val="000A2D27"/>
    <w:rsid w:val="000A4687"/>
    <w:rsid w:val="000A582A"/>
    <w:rsid w:val="000A7405"/>
    <w:rsid w:val="000B5096"/>
    <w:rsid w:val="000C4F6A"/>
    <w:rsid w:val="000D2355"/>
    <w:rsid w:val="000D7BB0"/>
    <w:rsid w:val="000E164D"/>
    <w:rsid w:val="000E2095"/>
    <w:rsid w:val="000E20BD"/>
    <w:rsid w:val="000F3B31"/>
    <w:rsid w:val="00100C99"/>
    <w:rsid w:val="00100F0E"/>
    <w:rsid w:val="001020B4"/>
    <w:rsid w:val="001020E5"/>
    <w:rsid w:val="001138B1"/>
    <w:rsid w:val="001156DA"/>
    <w:rsid w:val="0012582D"/>
    <w:rsid w:val="00127920"/>
    <w:rsid w:val="00134156"/>
    <w:rsid w:val="00134555"/>
    <w:rsid w:val="00134E1D"/>
    <w:rsid w:val="00136997"/>
    <w:rsid w:val="00137753"/>
    <w:rsid w:val="00140133"/>
    <w:rsid w:val="00145B08"/>
    <w:rsid w:val="00146FEC"/>
    <w:rsid w:val="001535CC"/>
    <w:rsid w:val="00156862"/>
    <w:rsid w:val="001572AA"/>
    <w:rsid w:val="00163B98"/>
    <w:rsid w:val="00164DE9"/>
    <w:rsid w:val="00170377"/>
    <w:rsid w:val="00171464"/>
    <w:rsid w:val="00172695"/>
    <w:rsid w:val="00172D81"/>
    <w:rsid w:val="00173D7A"/>
    <w:rsid w:val="00181FD5"/>
    <w:rsid w:val="00183361"/>
    <w:rsid w:val="00184A07"/>
    <w:rsid w:val="0018690F"/>
    <w:rsid w:val="00186945"/>
    <w:rsid w:val="00195B1A"/>
    <w:rsid w:val="001A0ADA"/>
    <w:rsid w:val="001A1084"/>
    <w:rsid w:val="001B0BD2"/>
    <w:rsid w:val="001B215C"/>
    <w:rsid w:val="001D5C91"/>
    <w:rsid w:val="001D706A"/>
    <w:rsid w:val="001E02C0"/>
    <w:rsid w:val="001E21B2"/>
    <w:rsid w:val="001E37EE"/>
    <w:rsid w:val="001E510D"/>
    <w:rsid w:val="001E61A7"/>
    <w:rsid w:val="001E624C"/>
    <w:rsid w:val="001E6A23"/>
    <w:rsid w:val="001E71B7"/>
    <w:rsid w:val="001E785A"/>
    <w:rsid w:val="001F604C"/>
    <w:rsid w:val="002019F2"/>
    <w:rsid w:val="00202EC1"/>
    <w:rsid w:val="00204ACE"/>
    <w:rsid w:val="00206662"/>
    <w:rsid w:val="00210CA9"/>
    <w:rsid w:val="00215E91"/>
    <w:rsid w:val="00217DE8"/>
    <w:rsid w:val="00226B7E"/>
    <w:rsid w:val="00227C63"/>
    <w:rsid w:val="00230351"/>
    <w:rsid w:val="0023062C"/>
    <w:rsid w:val="00235EAB"/>
    <w:rsid w:val="0023773C"/>
    <w:rsid w:val="00237839"/>
    <w:rsid w:val="00242110"/>
    <w:rsid w:val="00247FEE"/>
    <w:rsid w:val="00253094"/>
    <w:rsid w:val="00254EA1"/>
    <w:rsid w:val="00263EEA"/>
    <w:rsid w:val="002668C0"/>
    <w:rsid w:val="002676F1"/>
    <w:rsid w:val="00272934"/>
    <w:rsid w:val="002737E0"/>
    <w:rsid w:val="00273CB4"/>
    <w:rsid w:val="00276CB4"/>
    <w:rsid w:val="0029390B"/>
    <w:rsid w:val="002A07B6"/>
    <w:rsid w:val="002A3A2E"/>
    <w:rsid w:val="002A6BD9"/>
    <w:rsid w:val="002B1C8B"/>
    <w:rsid w:val="002B1D47"/>
    <w:rsid w:val="002B1E13"/>
    <w:rsid w:val="002B38C4"/>
    <w:rsid w:val="002B7549"/>
    <w:rsid w:val="002C233B"/>
    <w:rsid w:val="002D093F"/>
    <w:rsid w:val="002D0B18"/>
    <w:rsid w:val="002D20BB"/>
    <w:rsid w:val="002D2B67"/>
    <w:rsid w:val="002D65E6"/>
    <w:rsid w:val="002D753E"/>
    <w:rsid w:val="002E0528"/>
    <w:rsid w:val="002E3D0C"/>
    <w:rsid w:val="002E5CAE"/>
    <w:rsid w:val="002E6F92"/>
    <w:rsid w:val="002F37AF"/>
    <w:rsid w:val="002F49EE"/>
    <w:rsid w:val="002F7F58"/>
    <w:rsid w:val="003020E8"/>
    <w:rsid w:val="0031545F"/>
    <w:rsid w:val="003201CC"/>
    <w:rsid w:val="0032179F"/>
    <w:rsid w:val="00324436"/>
    <w:rsid w:val="00325A08"/>
    <w:rsid w:val="00326717"/>
    <w:rsid w:val="0034020E"/>
    <w:rsid w:val="003424DD"/>
    <w:rsid w:val="00342876"/>
    <w:rsid w:val="00342DED"/>
    <w:rsid w:val="003474A3"/>
    <w:rsid w:val="0035466F"/>
    <w:rsid w:val="003551DF"/>
    <w:rsid w:val="00355270"/>
    <w:rsid w:val="00356002"/>
    <w:rsid w:val="00362AD9"/>
    <w:rsid w:val="00363367"/>
    <w:rsid w:val="00363616"/>
    <w:rsid w:val="00371CAE"/>
    <w:rsid w:val="0037201A"/>
    <w:rsid w:val="00372F59"/>
    <w:rsid w:val="00376E70"/>
    <w:rsid w:val="00380430"/>
    <w:rsid w:val="0038098C"/>
    <w:rsid w:val="00386AAE"/>
    <w:rsid w:val="00387FEC"/>
    <w:rsid w:val="003906EA"/>
    <w:rsid w:val="00391321"/>
    <w:rsid w:val="00392A26"/>
    <w:rsid w:val="003967C5"/>
    <w:rsid w:val="00397527"/>
    <w:rsid w:val="0039776F"/>
    <w:rsid w:val="003A4712"/>
    <w:rsid w:val="003A4F7A"/>
    <w:rsid w:val="003B1688"/>
    <w:rsid w:val="003B39D6"/>
    <w:rsid w:val="003C223A"/>
    <w:rsid w:val="003C299D"/>
    <w:rsid w:val="003C2F62"/>
    <w:rsid w:val="003C6468"/>
    <w:rsid w:val="003C7350"/>
    <w:rsid w:val="003D0678"/>
    <w:rsid w:val="003D4685"/>
    <w:rsid w:val="003E083B"/>
    <w:rsid w:val="003E55C8"/>
    <w:rsid w:val="003F0168"/>
    <w:rsid w:val="004044E1"/>
    <w:rsid w:val="00414714"/>
    <w:rsid w:val="00414DAF"/>
    <w:rsid w:val="004158E6"/>
    <w:rsid w:val="0042415F"/>
    <w:rsid w:val="004248DE"/>
    <w:rsid w:val="0043295B"/>
    <w:rsid w:val="004407DA"/>
    <w:rsid w:val="004420B3"/>
    <w:rsid w:val="00443678"/>
    <w:rsid w:val="00443831"/>
    <w:rsid w:val="00446B32"/>
    <w:rsid w:val="00447CCC"/>
    <w:rsid w:val="00450500"/>
    <w:rsid w:val="00452607"/>
    <w:rsid w:val="004527B5"/>
    <w:rsid w:val="0045396C"/>
    <w:rsid w:val="00453F5B"/>
    <w:rsid w:val="00453F8C"/>
    <w:rsid w:val="004544BA"/>
    <w:rsid w:val="004600DC"/>
    <w:rsid w:val="00460279"/>
    <w:rsid w:val="004612F1"/>
    <w:rsid w:val="00461712"/>
    <w:rsid w:val="00463B26"/>
    <w:rsid w:val="00467DCC"/>
    <w:rsid w:val="00472088"/>
    <w:rsid w:val="00480F9B"/>
    <w:rsid w:val="0048620D"/>
    <w:rsid w:val="00486595"/>
    <w:rsid w:val="00486BA2"/>
    <w:rsid w:val="00487097"/>
    <w:rsid w:val="004901D7"/>
    <w:rsid w:val="00490912"/>
    <w:rsid w:val="00491B9D"/>
    <w:rsid w:val="00496CBC"/>
    <w:rsid w:val="00496DFD"/>
    <w:rsid w:val="004A07CE"/>
    <w:rsid w:val="004A516B"/>
    <w:rsid w:val="004A746B"/>
    <w:rsid w:val="004A750B"/>
    <w:rsid w:val="004B1670"/>
    <w:rsid w:val="004B1F23"/>
    <w:rsid w:val="004B20DF"/>
    <w:rsid w:val="004B243D"/>
    <w:rsid w:val="004B6C41"/>
    <w:rsid w:val="004C2075"/>
    <w:rsid w:val="004C27B3"/>
    <w:rsid w:val="004C33AC"/>
    <w:rsid w:val="004C4959"/>
    <w:rsid w:val="004C74E6"/>
    <w:rsid w:val="004D0272"/>
    <w:rsid w:val="004D1A43"/>
    <w:rsid w:val="004D2F27"/>
    <w:rsid w:val="004D344C"/>
    <w:rsid w:val="004D3624"/>
    <w:rsid w:val="004E05F0"/>
    <w:rsid w:val="004E1547"/>
    <w:rsid w:val="004E15BF"/>
    <w:rsid w:val="004E5207"/>
    <w:rsid w:val="004E7340"/>
    <w:rsid w:val="004E7ABE"/>
    <w:rsid w:val="004F1C4A"/>
    <w:rsid w:val="004F7A23"/>
    <w:rsid w:val="00504CDC"/>
    <w:rsid w:val="00505030"/>
    <w:rsid w:val="00506AD3"/>
    <w:rsid w:val="00511541"/>
    <w:rsid w:val="00512D8B"/>
    <w:rsid w:val="00514646"/>
    <w:rsid w:val="00514EC3"/>
    <w:rsid w:val="00515F57"/>
    <w:rsid w:val="0051694B"/>
    <w:rsid w:val="00516ED2"/>
    <w:rsid w:val="00520737"/>
    <w:rsid w:val="0052550A"/>
    <w:rsid w:val="00540AA3"/>
    <w:rsid w:val="0054266E"/>
    <w:rsid w:val="00543D9E"/>
    <w:rsid w:val="00551A05"/>
    <w:rsid w:val="00555E82"/>
    <w:rsid w:val="005564E7"/>
    <w:rsid w:val="00565D4D"/>
    <w:rsid w:val="005661F8"/>
    <w:rsid w:val="0056661E"/>
    <w:rsid w:val="00566B2B"/>
    <w:rsid w:val="005751FF"/>
    <w:rsid w:val="005770D0"/>
    <w:rsid w:val="00581C00"/>
    <w:rsid w:val="005827F0"/>
    <w:rsid w:val="00583BB0"/>
    <w:rsid w:val="00585637"/>
    <w:rsid w:val="00585D14"/>
    <w:rsid w:val="00585F15"/>
    <w:rsid w:val="00591E21"/>
    <w:rsid w:val="0059216C"/>
    <w:rsid w:val="005921DD"/>
    <w:rsid w:val="005922BF"/>
    <w:rsid w:val="0059321C"/>
    <w:rsid w:val="005A27E2"/>
    <w:rsid w:val="005A2FBD"/>
    <w:rsid w:val="005B249F"/>
    <w:rsid w:val="005B4E44"/>
    <w:rsid w:val="005B75B4"/>
    <w:rsid w:val="005C1F2A"/>
    <w:rsid w:val="005C4258"/>
    <w:rsid w:val="005C5EA3"/>
    <w:rsid w:val="005D0AAD"/>
    <w:rsid w:val="005D3264"/>
    <w:rsid w:val="005D3B5B"/>
    <w:rsid w:val="005D7952"/>
    <w:rsid w:val="005E14E5"/>
    <w:rsid w:val="005E4849"/>
    <w:rsid w:val="005E65EB"/>
    <w:rsid w:val="005F2EEE"/>
    <w:rsid w:val="005F2FA6"/>
    <w:rsid w:val="005F4761"/>
    <w:rsid w:val="005F6D4D"/>
    <w:rsid w:val="005F7EF7"/>
    <w:rsid w:val="00602E7C"/>
    <w:rsid w:val="0061113C"/>
    <w:rsid w:val="00612A43"/>
    <w:rsid w:val="0061475D"/>
    <w:rsid w:val="00615E2A"/>
    <w:rsid w:val="00616E06"/>
    <w:rsid w:val="00620C19"/>
    <w:rsid w:val="00621D5C"/>
    <w:rsid w:val="006249F8"/>
    <w:rsid w:val="006318CC"/>
    <w:rsid w:val="00631A41"/>
    <w:rsid w:val="006326BA"/>
    <w:rsid w:val="00632F7B"/>
    <w:rsid w:val="0064606B"/>
    <w:rsid w:val="00653132"/>
    <w:rsid w:val="00653252"/>
    <w:rsid w:val="00660312"/>
    <w:rsid w:val="0066096D"/>
    <w:rsid w:val="00662567"/>
    <w:rsid w:val="006642D1"/>
    <w:rsid w:val="00665BE2"/>
    <w:rsid w:val="006662CB"/>
    <w:rsid w:val="00666D4D"/>
    <w:rsid w:val="006742C3"/>
    <w:rsid w:val="00674D07"/>
    <w:rsid w:val="006845DD"/>
    <w:rsid w:val="00686404"/>
    <w:rsid w:val="00687649"/>
    <w:rsid w:val="006903AD"/>
    <w:rsid w:val="0069154C"/>
    <w:rsid w:val="00694FE0"/>
    <w:rsid w:val="00696411"/>
    <w:rsid w:val="006A70D8"/>
    <w:rsid w:val="006A7A49"/>
    <w:rsid w:val="006B06B0"/>
    <w:rsid w:val="006B58B2"/>
    <w:rsid w:val="006B6EE6"/>
    <w:rsid w:val="006C3531"/>
    <w:rsid w:val="006C4436"/>
    <w:rsid w:val="006C44AF"/>
    <w:rsid w:val="006C5536"/>
    <w:rsid w:val="006D0517"/>
    <w:rsid w:val="006D30EE"/>
    <w:rsid w:val="006D6F2C"/>
    <w:rsid w:val="006E32A6"/>
    <w:rsid w:val="006E4B4E"/>
    <w:rsid w:val="006E4ED9"/>
    <w:rsid w:val="006E76A5"/>
    <w:rsid w:val="006F059B"/>
    <w:rsid w:val="006F226C"/>
    <w:rsid w:val="006F5E8F"/>
    <w:rsid w:val="0070643E"/>
    <w:rsid w:val="00716DCF"/>
    <w:rsid w:val="00717F99"/>
    <w:rsid w:val="0072128D"/>
    <w:rsid w:val="0072534A"/>
    <w:rsid w:val="00725ABF"/>
    <w:rsid w:val="00725BFF"/>
    <w:rsid w:val="0072674C"/>
    <w:rsid w:val="007274C8"/>
    <w:rsid w:val="00733548"/>
    <w:rsid w:val="0073545E"/>
    <w:rsid w:val="00736115"/>
    <w:rsid w:val="007364E7"/>
    <w:rsid w:val="00737A85"/>
    <w:rsid w:val="00742293"/>
    <w:rsid w:val="00750E4D"/>
    <w:rsid w:val="0075287C"/>
    <w:rsid w:val="00753FAA"/>
    <w:rsid w:val="00756E63"/>
    <w:rsid w:val="007578FF"/>
    <w:rsid w:val="00761978"/>
    <w:rsid w:val="0076589C"/>
    <w:rsid w:val="0076593B"/>
    <w:rsid w:val="00767544"/>
    <w:rsid w:val="0077491E"/>
    <w:rsid w:val="007773CD"/>
    <w:rsid w:val="00781543"/>
    <w:rsid w:val="00781704"/>
    <w:rsid w:val="00782E3E"/>
    <w:rsid w:val="00783DBD"/>
    <w:rsid w:val="00790CDE"/>
    <w:rsid w:val="0079200E"/>
    <w:rsid w:val="00795D07"/>
    <w:rsid w:val="007A445C"/>
    <w:rsid w:val="007A4722"/>
    <w:rsid w:val="007A4765"/>
    <w:rsid w:val="007A75DC"/>
    <w:rsid w:val="007B556B"/>
    <w:rsid w:val="007B6A1F"/>
    <w:rsid w:val="007B6A3F"/>
    <w:rsid w:val="007B6AA1"/>
    <w:rsid w:val="007D3E47"/>
    <w:rsid w:val="007D5762"/>
    <w:rsid w:val="007D7801"/>
    <w:rsid w:val="007D79F4"/>
    <w:rsid w:val="007E0DFD"/>
    <w:rsid w:val="007E3DF6"/>
    <w:rsid w:val="007E46B0"/>
    <w:rsid w:val="007E5C36"/>
    <w:rsid w:val="007F37C0"/>
    <w:rsid w:val="00800DE8"/>
    <w:rsid w:val="0080268F"/>
    <w:rsid w:val="0080317E"/>
    <w:rsid w:val="00806559"/>
    <w:rsid w:val="00811C5F"/>
    <w:rsid w:val="008132D2"/>
    <w:rsid w:val="008171EB"/>
    <w:rsid w:val="008207C6"/>
    <w:rsid w:val="008238F5"/>
    <w:rsid w:val="00825016"/>
    <w:rsid w:val="00836C0D"/>
    <w:rsid w:val="0083738A"/>
    <w:rsid w:val="008378E6"/>
    <w:rsid w:val="00841820"/>
    <w:rsid w:val="00843E37"/>
    <w:rsid w:val="008451EA"/>
    <w:rsid w:val="00847F44"/>
    <w:rsid w:val="00851A42"/>
    <w:rsid w:val="00853AA1"/>
    <w:rsid w:val="0085456B"/>
    <w:rsid w:val="008547AF"/>
    <w:rsid w:val="008553B5"/>
    <w:rsid w:val="00855907"/>
    <w:rsid w:val="0086427F"/>
    <w:rsid w:val="00872DBE"/>
    <w:rsid w:val="00873B73"/>
    <w:rsid w:val="00874570"/>
    <w:rsid w:val="0087480C"/>
    <w:rsid w:val="00884335"/>
    <w:rsid w:val="00885C58"/>
    <w:rsid w:val="0089264B"/>
    <w:rsid w:val="008952F3"/>
    <w:rsid w:val="008A103C"/>
    <w:rsid w:val="008A1D78"/>
    <w:rsid w:val="008A2D92"/>
    <w:rsid w:val="008A65C7"/>
    <w:rsid w:val="008B3B7A"/>
    <w:rsid w:val="008B4A62"/>
    <w:rsid w:val="008B6C41"/>
    <w:rsid w:val="008C4486"/>
    <w:rsid w:val="008C5BBB"/>
    <w:rsid w:val="008C775D"/>
    <w:rsid w:val="008D02DC"/>
    <w:rsid w:val="008D40BA"/>
    <w:rsid w:val="008D5FD9"/>
    <w:rsid w:val="008D7121"/>
    <w:rsid w:val="008D7204"/>
    <w:rsid w:val="008F201A"/>
    <w:rsid w:val="0090172F"/>
    <w:rsid w:val="009058E1"/>
    <w:rsid w:val="00906275"/>
    <w:rsid w:val="00907666"/>
    <w:rsid w:val="0090776C"/>
    <w:rsid w:val="00912DA5"/>
    <w:rsid w:val="00915FCF"/>
    <w:rsid w:val="009162DE"/>
    <w:rsid w:val="00916CA9"/>
    <w:rsid w:val="00917483"/>
    <w:rsid w:val="00926BC6"/>
    <w:rsid w:val="009331AF"/>
    <w:rsid w:val="00933447"/>
    <w:rsid w:val="0093412C"/>
    <w:rsid w:val="00936C1E"/>
    <w:rsid w:val="00936DF2"/>
    <w:rsid w:val="00944B73"/>
    <w:rsid w:val="00947433"/>
    <w:rsid w:val="00947BEF"/>
    <w:rsid w:val="00960B25"/>
    <w:rsid w:val="0096235A"/>
    <w:rsid w:val="009661FD"/>
    <w:rsid w:val="00970F95"/>
    <w:rsid w:val="009807D9"/>
    <w:rsid w:val="00986DF1"/>
    <w:rsid w:val="00991D3E"/>
    <w:rsid w:val="00994B8E"/>
    <w:rsid w:val="00994EBB"/>
    <w:rsid w:val="00997518"/>
    <w:rsid w:val="009A0CE5"/>
    <w:rsid w:val="009A3F35"/>
    <w:rsid w:val="009A46B4"/>
    <w:rsid w:val="009A787E"/>
    <w:rsid w:val="009B218B"/>
    <w:rsid w:val="009B25D2"/>
    <w:rsid w:val="009B2923"/>
    <w:rsid w:val="009B34A7"/>
    <w:rsid w:val="009B4D13"/>
    <w:rsid w:val="009B694F"/>
    <w:rsid w:val="009B78D7"/>
    <w:rsid w:val="009C1387"/>
    <w:rsid w:val="009C19FF"/>
    <w:rsid w:val="009C3D7A"/>
    <w:rsid w:val="009C42E8"/>
    <w:rsid w:val="009C50D2"/>
    <w:rsid w:val="009C5143"/>
    <w:rsid w:val="009C52C4"/>
    <w:rsid w:val="009C72A0"/>
    <w:rsid w:val="009C7312"/>
    <w:rsid w:val="009D19BB"/>
    <w:rsid w:val="009D23CF"/>
    <w:rsid w:val="009D2B8F"/>
    <w:rsid w:val="009D3916"/>
    <w:rsid w:val="009D44DC"/>
    <w:rsid w:val="009D5B64"/>
    <w:rsid w:val="009D623F"/>
    <w:rsid w:val="009E1A01"/>
    <w:rsid w:val="009E1F5A"/>
    <w:rsid w:val="009E3947"/>
    <w:rsid w:val="009E3E3E"/>
    <w:rsid w:val="009F2281"/>
    <w:rsid w:val="009F64E2"/>
    <w:rsid w:val="00A04487"/>
    <w:rsid w:val="00A10847"/>
    <w:rsid w:val="00A15079"/>
    <w:rsid w:val="00A160C7"/>
    <w:rsid w:val="00A204E3"/>
    <w:rsid w:val="00A24A81"/>
    <w:rsid w:val="00A2507B"/>
    <w:rsid w:val="00A328CF"/>
    <w:rsid w:val="00A32FCE"/>
    <w:rsid w:val="00A3476A"/>
    <w:rsid w:val="00A420C2"/>
    <w:rsid w:val="00A43023"/>
    <w:rsid w:val="00A467AE"/>
    <w:rsid w:val="00A5193B"/>
    <w:rsid w:val="00A544C3"/>
    <w:rsid w:val="00A62E01"/>
    <w:rsid w:val="00A703BB"/>
    <w:rsid w:val="00A7442E"/>
    <w:rsid w:val="00A757A6"/>
    <w:rsid w:val="00A811AC"/>
    <w:rsid w:val="00A8179F"/>
    <w:rsid w:val="00A82CF1"/>
    <w:rsid w:val="00A85959"/>
    <w:rsid w:val="00A85A51"/>
    <w:rsid w:val="00A86605"/>
    <w:rsid w:val="00A91D50"/>
    <w:rsid w:val="00A91F8B"/>
    <w:rsid w:val="00A93601"/>
    <w:rsid w:val="00A9670E"/>
    <w:rsid w:val="00AA0905"/>
    <w:rsid w:val="00AA26A0"/>
    <w:rsid w:val="00AA4334"/>
    <w:rsid w:val="00AA529F"/>
    <w:rsid w:val="00AB095C"/>
    <w:rsid w:val="00AB1E7A"/>
    <w:rsid w:val="00AB35EF"/>
    <w:rsid w:val="00AB6B66"/>
    <w:rsid w:val="00AC0B47"/>
    <w:rsid w:val="00AC3459"/>
    <w:rsid w:val="00AD43E7"/>
    <w:rsid w:val="00AD6FAD"/>
    <w:rsid w:val="00AD78E6"/>
    <w:rsid w:val="00AD7BD8"/>
    <w:rsid w:val="00AE271B"/>
    <w:rsid w:val="00AE35D5"/>
    <w:rsid w:val="00AE6576"/>
    <w:rsid w:val="00AE6747"/>
    <w:rsid w:val="00AF2B6D"/>
    <w:rsid w:val="00AF311E"/>
    <w:rsid w:val="00AF4339"/>
    <w:rsid w:val="00AF77E2"/>
    <w:rsid w:val="00AF7A4D"/>
    <w:rsid w:val="00B028CC"/>
    <w:rsid w:val="00B02B7E"/>
    <w:rsid w:val="00B02C27"/>
    <w:rsid w:val="00B103E0"/>
    <w:rsid w:val="00B1060C"/>
    <w:rsid w:val="00B12C00"/>
    <w:rsid w:val="00B208ED"/>
    <w:rsid w:val="00B20D3B"/>
    <w:rsid w:val="00B25E77"/>
    <w:rsid w:val="00B25FF6"/>
    <w:rsid w:val="00B3431C"/>
    <w:rsid w:val="00B3619E"/>
    <w:rsid w:val="00B37EB7"/>
    <w:rsid w:val="00B4018A"/>
    <w:rsid w:val="00B44A3A"/>
    <w:rsid w:val="00B47996"/>
    <w:rsid w:val="00B507E3"/>
    <w:rsid w:val="00B54C9B"/>
    <w:rsid w:val="00B574FC"/>
    <w:rsid w:val="00B74019"/>
    <w:rsid w:val="00B76FA5"/>
    <w:rsid w:val="00B85F2B"/>
    <w:rsid w:val="00B87084"/>
    <w:rsid w:val="00B9185D"/>
    <w:rsid w:val="00B9299C"/>
    <w:rsid w:val="00B94042"/>
    <w:rsid w:val="00BA16BD"/>
    <w:rsid w:val="00BA1E64"/>
    <w:rsid w:val="00BA2F90"/>
    <w:rsid w:val="00BA4485"/>
    <w:rsid w:val="00BA4804"/>
    <w:rsid w:val="00BA4A4A"/>
    <w:rsid w:val="00BA4B6B"/>
    <w:rsid w:val="00BB0BD5"/>
    <w:rsid w:val="00BB4AD2"/>
    <w:rsid w:val="00BB5A92"/>
    <w:rsid w:val="00BB7740"/>
    <w:rsid w:val="00BB778B"/>
    <w:rsid w:val="00BC0072"/>
    <w:rsid w:val="00BC2B23"/>
    <w:rsid w:val="00BC3D5A"/>
    <w:rsid w:val="00BC4EE1"/>
    <w:rsid w:val="00BC74AC"/>
    <w:rsid w:val="00BD5E83"/>
    <w:rsid w:val="00BE4892"/>
    <w:rsid w:val="00BE5A0F"/>
    <w:rsid w:val="00BE6C32"/>
    <w:rsid w:val="00BF30B5"/>
    <w:rsid w:val="00BF6E6E"/>
    <w:rsid w:val="00C122FA"/>
    <w:rsid w:val="00C139D2"/>
    <w:rsid w:val="00C304B6"/>
    <w:rsid w:val="00C35F1E"/>
    <w:rsid w:val="00C36F20"/>
    <w:rsid w:val="00C51485"/>
    <w:rsid w:val="00C55012"/>
    <w:rsid w:val="00C606CB"/>
    <w:rsid w:val="00C77D3F"/>
    <w:rsid w:val="00C814A2"/>
    <w:rsid w:val="00C824FA"/>
    <w:rsid w:val="00C830DB"/>
    <w:rsid w:val="00C8589B"/>
    <w:rsid w:val="00C873EF"/>
    <w:rsid w:val="00C905E7"/>
    <w:rsid w:val="00C91061"/>
    <w:rsid w:val="00C92EAB"/>
    <w:rsid w:val="00C939FF"/>
    <w:rsid w:val="00C94A6B"/>
    <w:rsid w:val="00C969FE"/>
    <w:rsid w:val="00CA5496"/>
    <w:rsid w:val="00CA58EE"/>
    <w:rsid w:val="00CB1848"/>
    <w:rsid w:val="00CB4095"/>
    <w:rsid w:val="00CB58B4"/>
    <w:rsid w:val="00CB5B40"/>
    <w:rsid w:val="00CB5FDB"/>
    <w:rsid w:val="00CC089F"/>
    <w:rsid w:val="00CC5164"/>
    <w:rsid w:val="00CD1AFA"/>
    <w:rsid w:val="00CD507B"/>
    <w:rsid w:val="00CD7AEE"/>
    <w:rsid w:val="00CE0F57"/>
    <w:rsid w:val="00CF0143"/>
    <w:rsid w:val="00CF3D9A"/>
    <w:rsid w:val="00CF4EF3"/>
    <w:rsid w:val="00CF78FA"/>
    <w:rsid w:val="00D004BD"/>
    <w:rsid w:val="00D01DE3"/>
    <w:rsid w:val="00D021E4"/>
    <w:rsid w:val="00D03C63"/>
    <w:rsid w:val="00D04DCC"/>
    <w:rsid w:val="00D052F1"/>
    <w:rsid w:val="00D054C9"/>
    <w:rsid w:val="00D05F2B"/>
    <w:rsid w:val="00D1073A"/>
    <w:rsid w:val="00D10E26"/>
    <w:rsid w:val="00D15446"/>
    <w:rsid w:val="00D15975"/>
    <w:rsid w:val="00D167B9"/>
    <w:rsid w:val="00D24D9A"/>
    <w:rsid w:val="00D26B3C"/>
    <w:rsid w:val="00D30B79"/>
    <w:rsid w:val="00D336FE"/>
    <w:rsid w:val="00D34168"/>
    <w:rsid w:val="00D34EFC"/>
    <w:rsid w:val="00D35478"/>
    <w:rsid w:val="00D36555"/>
    <w:rsid w:val="00D402BC"/>
    <w:rsid w:val="00D444E5"/>
    <w:rsid w:val="00D5092B"/>
    <w:rsid w:val="00D539A3"/>
    <w:rsid w:val="00D5549E"/>
    <w:rsid w:val="00D56437"/>
    <w:rsid w:val="00D611EC"/>
    <w:rsid w:val="00D7319D"/>
    <w:rsid w:val="00D82EEC"/>
    <w:rsid w:val="00D8354A"/>
    <w:rsid w:val="00D8399E"/>
    <w:rsid w:val="00D83D13"/>
    <w:rsid w:val="00D83D1B"/>
    <w:rsid w:val="00D84880"/>
    <w:rsid w:val="00D96414"/>
    <w:rsid w:val="00DA0DAC"/>
    <w:rsid w:val="00DA60F3"/>
    <w:rsid w:val="00DB4BCB"/>
    <w:rsid w:val="00DC792D"/>
    <w:rsid w:val="00DC7E1D"/>
    <w:rsid w:val="00DD305F"/>
    <w:rsid w:val="00DD33A6"/>
    <w:rsid w:val="00DF0C6F"/>
    <w:rsid w:val="00DF15A3"/>
    <w:rsid w:val="00DF24B6"/>
    <w:rsid w:val="00DF53CB"/>
    <w:rsid w:val="00DF755B"/>
    <w:rsid w:val="00E01BE2"/>
    <w:rsid w:val="00E03DD4"/>
    <w:rsid w:val="00E05E24"/>
    <w:rsid w:val="00E05F8A"/>
    <w:rsid w:val="00E069B2"/>
    <w:rsid w:val="00E10D33"/>
    <w:rsid w:val="00E13668"/>
    <w:rsid w:val="00E14649"/>
    <w:rsid w:val="00E150F4"/>
    <w:rsid w:val="00E24789"/>
    <w:rsid w:val="00E25DC2"/>
    <w:rsid w:val="00E27B57"/>
    <w:rsid w:val="00E3144E"/>
    <w:rsid w:val="00E33BF1"/>
    <w:rsid w:val="00E34EC2"/>
    <w:rsid w:val="00E37834"/>
    <w:rsid w:val="00E41810"/>
    <w:rsid w:val="00E41E63"/>
    <w:rsid w:val="00E4227D"/>
    <w:rsid w:val="00E429B6"/>
    <w:rsid w:val="00E451D6"/>
    <w:rsid w:val="00E476B1"/>
    <w:rsid w:val="00E50C57"/>
    <w:rsid w:val="00E51485"/>
    <w:rsid w:val="00E51D48"/>
    <w:rsid w:val="00E51DD6"/>
    <w:rsid w:val="00E52B6E"/>
    <w:rsid w:val="00E54F8C"/>
    <w:rsid w:val="00E55964"/>
    <w:rsid w:val="00E61132"/>
    <w:rsid w:val="00E6171B"/>
    <w:rsid w:val="00E61D1F"/>
    <w:rsid w:val="00E64C71"/>
    <w:rsid w:val="00E655AD"/>
    <w:rsid w:val="00E65BF5"/>
    <w:rsid w:val="00E73420"/>
    <w:rsid w:val="00E73DFD"/>
    <w:rsid w:val="00E77FF8"/>
    <w:rsid w:val="00E8725A"/>
    <w:rsid w:val="00E8748F"/>
    <w:rsid w:val="00E90BA1"/>
    <w:rsid w:val="00E912FE"/>
    <w:rsid w:val="00E914CC"/>
    <w:rsid w:val="00E917EB"/>
    <w:rsid w:val="00E96494"/>
    <w:rsid w:val="00E96746"/>
    <w:rsid w:val="00E968B5"/>
    <w:rsid w:val="00EA05F0"/>
    <w:rsid w:val="00EA140F"/>
    <w:rsid w:val="00EA2B6D"/>
    <w:rsid w:val="00EA4806"/>
    <w:rsid w:val="00EA6DCB"/>
    <w:rsid w:val="00EB5202"/>
    <w:rsid w:val="00EB7CA9"/>
    <w:rsid w:val="00EC02FC"/>
    <w:rsid w:val="00EC3269"/>
    <w:rsid w:val="00EC5726"/>
    <w:rsid w:val="00ED0967"/>
    <w:rsid w:val="00ED3536"/>
    <w:rsid w:val="00EE0369"/>
    <w:rsid w:val="00EE0ED4"/>
    <w:rsid w:val="00EF3FA9"/>
    <w:rsid w:val="00EF69A3"/>
    <w:rsid w:val="00F011A5"/>
    <w:rsid w:val="00F0333A"/>
    <w:rsid w:val="00F03564"/>
    <w:rsid w:val="00F03788"/>
    <w:rsid w:val="00F037E3"/>
    <w:rsid w:val="00F067D8"/>
    <w:rsid w:val="00F13C62"/>
    <w:rsid w:val="00F1521D"/>
    <w:rsid w:val="00F17DC9"/>
    <w:rsid w:val="00F23FAB"/>
    <w:rsid w:val="00F240CA"/>
    <w:rsid w:val="00F30C83"/>
    <w:rsid w:val="00F3496A"/>
    <w:rsid w:val="00F43F4E"/>
    <w:rsid w:val="00F4468B"/>
    <w:rsid w:val="00F45B0B"/>
    <w:rsid w:val="00F5003F"/>
    <w:rsid w:val="00F50BAA"/>
    <w:rsid w:val="00F60CEA"/>
    <w:rsid w:val="00F62F62"/>
    <w:rsid w:val="00F708B6"/>
    <w:rsid w:val="00F73DA8"/>
    <w:rsid w:val="00F75478"/>
    <w:rsid w:val="00F7670A"/>
    <w:rsid w:val="00F8049B"/>
    <w:rsid w:val="00F91D10"/>
    <w:rsid w:val="00F92D3F"/>
    <w:rsid w:val="00F931EE"/>
    <w:rsid w:val="00FA2230"/>
    <w:rsid w:val="00FA2CA7"/>
    <w:rsid w:val="00FA4142"/>
    <w:rsid w:val="00FA4319"/>
    <w:rsid w:val="00FA683A"/>
    <w:rsid w:val="00FA6888"/>
    <w:rsid w:val="00FA7E31"/>
    <w:rsid w:val="00FB0E37"/>
    <w:rsid w:val="00FB0E8A"/>
    <w:rsid w:val="00FB1AAA"/>
    <w:rsid w:val="00FC2905"/>
    <w:rsid w:val="00FC2E54"/>
    <w:rsid w:val="00FC59D1"/>
    <w:rsid w:val="00FC5B84"/>
    <w:rsid w:val="00FC6F5F"/>
    <w:rsid w:val="00FD06B3"/>
    <w:rsid w:val="00FD0A2A"/>
    <w:rsid w:val="00FD3374"/>
    <w:rsid w:val="00FD39EF"/>
    <w:rsid w:val="00FD743F"/>
    <w:rsid w:val="00FE5795"/>
    <w:rsid w:val="00FE7CA4"/>
    <w:rsid w:val="00FE7CC5"/>
    <w:rsid w:val="00FF3E1C"/>
    <w:rsid w:val="00FF5080"/>
    <w:rsid w:val="00FF564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B84"/>
    <w:pPr>
      <w:spacing w:after="160" w:line="259" w:lineRule="auto"/>
    </w:pPr>
    <w:rPr>
      <w:rFonts w:eastAsiaTheme="minorEastAsia"/>
    </w:rPr>
  </w:style>
  <w:style w:type="paragraph" w:styleId="Ttulo1">
    <w:name w:val="heading 1"/>
    <w:basedOn w:val="Normal"/>
    <w:next w:val="Normal"/>
    <w:link w:val="Ttulo1Car"/>
    <w:uiPriority w:val="9"/>
    <w:qFormat/>
    <w:rsid w:val="00FC5B84"/>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unhideWhenUsed/>
    <w:qFormat/>
    <w:rsid w:val="00FC5B84"/>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FC5B84"/>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semiHidden/>
    <w:unhideWhenUsed/>
    <w:qFormat/>
    <w:rsid w:val="00FC5B84"/>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semiHidden/>
    <w:unhideWhenUsed/>
    <w:qFormat/>
    <w:rsid w:val="00FC5B84"/>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semiHidden/>
    <w:unhideWhenUsed/>
    <w:qFormat/>
    <w:rsid w:val="00FC5B84"/>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semiHidden/>
    <w:unhideWhenUsed/>
    <w:qFormat/>
    <w:rsid w:val="00FC5B84"/>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semiHidden/>
    <w:unhideWhenUsed/>
    <w:qFormat/>
    <w:rsid w:val="00FC5B84"/>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semiHidden/>
    <w:unhideWhenUsed/>
    <w:qFormat/>
    <w:rsid w:val="00FC5B84"/>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5B84"/>
    <w:rPr>
      <w:rFonts w:asciiTheme="majorHAnsi" w:eastAsiaTheme="majorEastAsia" w:hAnsiTheme="majorHAnsi" w:cstheme="majorBidi"/>
      <w:color w:val="244061" w:themeColor="accent1" w:themeShade="80"/>
      <w:sz w:val="36"/>
      <w:szCs w:val="36"/>
    </w:rPr>
  </w:style>
  <w:style w:type="character" w:customStyle="1" w:styleId="Ttulo2Car">
    <w:name w:val="Título 2 Car"/>
    <w:basedOn w:val="Fuentedeprrafopredeter"/>
    <w:link w:val="Ttulo2"/>
    <w:uiPriority w:val="9"/>
    <w:rsid w:val="00FC5B84"/>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FC5B84"/>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semiHidden/>
    <w:rsid w:val="00FC5B84"/>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semiHidden/>
    <w:rsid w:val="00FC5B84"/>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semiHidden/>
    <w:rsid w:val="00FC5B84"/>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semiHidden/>
    <w:rsid w:val="00FC5B84"/>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semiHidden/>
    <w:rsid w:val="00FC5B84"/>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semiHidden/>
    <w:rsid w:val="00FC5B84"/>
    <w:rPr>
      <w:rFonts w:asciiTheme="majorHAnsi" w:eastAsiaTheme="majorEastAsia" w:hAnsiTheme="majorHAnsi" w:cstheme="majorBidi"/>
      <w:i/>
      <w:iCs/>
      <w:color w:val="244061" w:themeColor="accent1" w:themeShade="80"/>
    </w:rPr>
  </w:style>
  <w:style w:type="paragraph" w:styleId="Textodeglobo">
    <w:name w:val="Balloon Text"/>
    <w:basedOn w:val="Normal"/>
    <w:link w:val="TextodegloboCar"/>
    <w:uiPriority w:val="99"/>
    <w:semiHidden/>
    <w:unhideWhenUsed/>
    <w:rsid w:val="00FC5B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84"/>
    <w:rPr>
      <w:rFonts w:ascii="Tahoma" w:eastAsiaTheme="minorEastAsia" w:hAnsi="Tahoma" w:cs="Tahoma"/>
      <w:sz w:val="16"/>
      <w:szCs w:val="16"/>
    </w:rPr>
  </w:style>
  <w:style w:type="paragraph" w:styleId="Prrafodelista">
    <w:name w:val="List Paragraph"/>
    <w:basedOn w:val="Normal"/>
    <w:uiPriority w:val="34"/>
    <w:qFormat/>
    <w:rsid w:val="00FC5B84"/>
    <w:pPr>
      <w:ind w:left="720"/>
      <w:contextualSpacing/>
    </w:pPr>
  </w:style>
  <w:style w:type="paragraph" w:styleId="Textonotapie">
    <w:name w:val="footnote text"/>
    <w:aliases w:val="Footnote Text Char Char Char Char Char,Footnote Text Char Char Char Char,Footnote reference,FA Fu Car Car,FA Fu Car,FA Fu,Footnote Text Char Char Char,ft,Texto nota pie Car Car Car Car Car Car Car Car,Texto nota pie Car Car Car Car Car"/>
    <w:basedOn w:val="Normal"/>
    <w:link w:val="TextonotapieCar"/>
    <w:uiPriority w:val="99"/>
    <w:unhideWhenUsed/>
    <w:qFormat/>
    <w:rsid w:val="00FC5B84"/>
    <w:pPr>
      <w:spacing w:after="0" w:line="240" w:lineRule="auto"/>
    </w:pPr>
    <w:rPr>
      <w:sz w:val="20"/>
      <w:szCs w:val="20"/>
    </w:rPr>
  </w:style>
  <w:style w:type="character" w:customStyle="1" w:styleId="TextonotapieCar">
    <w:name w:val="Texto nota pie Car"/>
    <w:aliases w:val="Footnote Text Char Char Char Char Char Car,Footnote Text Char Char Char Char Car,Footnote reference Car,FA Fu Car Car Car,FA Fu Car Car1,FA Fu Car1,Footnote Text Char Char Char Car,ft Car,Texto nota pie Car Car Car Car Car Car"/>
    <w:basedOn w:val="Fuentedeprrafopredeter"/>
    <w:link w:val="Textonotapie"/>
    <w:uiPriority w:val="99"/>
    <w:qFormat/>
    <w:rsid w:val="00FC5B84"/>
    <w:rPr>
      <w:rFonts w:eastAsiaTheme="minorEastAsia"/>
      <w:sz w:val="20"/>
      <w:szCs w:val="20"/>
    </w:rPr>
  </w:style>
  <w:style w:type="character" w:styleId="Refdenotaalpie">
    <w:name w:val="footnote reference"/>
    <w:aliases w:val="Texto de nota al pie,referencia nota al pie,Ref,de nota al pi,Ref. de nota al pie2,de nota al pie,Massilia Footnote Reference,Massilia Footnote Referen,Massilia Footnote Refere,Fußnotenzeichen DISS,16 Point,Superscript 6 Point,ftref"/>
    <w:basedOn w:val="Fuentedeprrafopredeter"/>
    <w:link w:val="Char2"/>
    <w:uiPriority w:val="99"/>
    <w:unhideWhenUsed/>
    <w:qFormat/>
    <w:rsid w:val="00FC5B84"/>
    <w:rPr>
      <w:vertAlign w:val="superscript"/>
    </w:rPr>
  </w:style>
  <w:style w:type="character" w:styleId="Hipervnculo">
    <w:name w:val="Hyperlink"/>
    <w:uiPriority w:val="99"/>
    <w:unhideWhenUsed/>
    <w:rsid w:val="00FC5B84"/>
    <w:rPr>
      <w:color w:val="0000FF"/>
      <w:u w:val="single"/>
    </w:rPr>
  </w:style>
  <w:style w:type="paragraph" w:customStyle="1" w:styleId="Char2">
    <w:name w:val="Char2"/>
    <w:basedOn w:val="Normal"/>
    <w:link w:val="Refdenotaalpie"/>
    <w:uiPriority w:val="99"/>
    <w:qFormat/>
    <w:rsid w:val="00FC5B84"/>
    <w:pPr>
      <w:spacing w:line="240" w:lineRule="exact"/>
    </w:pPr>
    <w:rPr>
      <w:rFonts w:eastAsiaTheme="minorHAnsi"/>
      <w:vertAlign w:val="superscript"/>
    </w:rPr>
  </w:style>
  <w:style w:type="character" w:styleId="Refdecomentario">
    <w:name w:val="annotation reference"/>
    <w:basedOn w:val="Fuentedeprrafopredeter"/>
    <w:uiPriority w:val="99"/>
    <w:semiHidden/>
    <w:unhideWhenUsed/>
    <w:rsid w:val="00FC5B84"/>
    <w:rPr>
      <w:sz w:val="16"/>
      <w:szCs w:val="16"/>
    </w:rPr>
  </w:style>
  <w:style w:type="paragraph" w:styleId="Textocomentario">
    <w:name w:val="annotation text"/>
    <w:basedOn w:val="Normal"/>
    <w:link w:val="TextocomentarioCar"/>
    <w:uiPriority w:val="99"/>
    <w:semiHidden/>
    <w:unhideWhenUsed/>
    <w:rsid w:val="00FC5B84"/>
    <w:pPr>
      <w:spacing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FC5B84"/>
    <w:rPr>
      <w:rFonts w:ascii="Calibri" w:eastAsia="Calibri" w:hAnsi="Calibri" w:cs="Times New Roman"/>
      <w:sz w:val="20"/>
      <w:szCs w:val="20"/>
    </w:rPr>
  </w:style>
  <w:style w:type="paragraph" w:styleId="NormalWeb">
    <w:name w:val="Normal (Web)"/>
    <w:basedOn w:val="Normal"/>
    <w:uiPriority w:val="99"/>
    <w:unhideWhenUsed/>
    <w:rsid w:val="00FC5B84"/>
    <w:rPr>
      <w:rFonts w:ascii="Times New Roman" w:hAnsi="Times New Roman" w:cs="Times New Roman"/>
      <w:sz w:val="24"/>
      <w:szCs w:val="24"/>
    </w:rPr>
  </w:style>
  <w:style w:type="paragraph" w:styleId="Encabezado">
    <w:name w:val="header"/>
    <w:basedOn w:val="Normal"/>
    <w:link w:val="EncabezadoCar"/>
    <w:uiPriority w:val="99"/>
    <w:unhideWhenUsed/>
    <w:rsid w:val="00FC5B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84"/>
    <w:rPr>
      <w:rFonts w:eastAsiaTheme="minorEastAsia"/>
    </w:rPr>
  </w:style>
  <w:style w:type="paragraph" w:styleId="Piedepgina">
    <w:name w:val="footer"/>
    <w:basedOn w:val="Normal"/>
    <w:link w:val="PiedepginaCar"/>
    <w:uiPriority w:val="99"/>
    <w:unhideWhenUsed/>
    <w:rsid w:val="00FC5B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84"/>
    <w:rPr>
      <w:rFonts w:eastAsiaTheme="minorEastAsia"/>
    </w:rPr>
  </w:style>
  <w:style w:type="paragraph" w:styleId="Textonotaalfinal">
    <w:name w:val="endnote text"/>
    <w:basedOn w:val="Normal"/>
    <w:link w:val="TextonotaalfinalCar"/>
    <w:uiPriority w:val="99"/>
    <w:semiHidden/>
    <w:unhideWhenUsed/>
    <w:rsid w:val="00FC5B8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C5B84"/>
    <w:rPr>
      <w:rFonts w:eastAsiaTheme="minorEastAsia"/>
      <w:sz w:val="20"/>
      <w:szCs w:val="20"/>
    </w:rPr>
  </w:style>
  <w:style w:type="character" w:styleId="Refdenotaalfinal">
    <w:name w:val="endnote reference"/>
    <w:basedOn w:val="Fuentedeprrafopredeter"/>
    <w:uiPriority w:val="99"/>
    <w:semiHidden/>
    <w:unhideWhenUsed/>
    <w:rsid w:val="00FC5B84"/>
    <w:rPr>
      <w:vertAlign w:val="superscript"/>
    </w:rPr>
  </w:style>
  <w:style w:type="paragraph" w:styleId="Sinespaciado">
    <w:name w:val="No Spacing"/>
    <w:link w:val="SinespaciadoCar"/>
    <w:uiPriority w:val="1"/>
    <w:qFormat/>
    <w:rsid w:val="00FC5B84"/>
    <w:pPr>
      <w:spacing w:after="0" w:line="240" w:lineRule="auto"/>
    </w:pPr>
    <w:rPr>
      <w:rFonts w:eastAsiaTheme="minorEastAsia"/>
    </w:rPr>
  </w:style>
  <w:style w:type="paragraph" w:styleId="Asuntodelcomentario">
    <w:name w:val="annotation subject"/>
    <w:basedOn w:val="Textocomentario"/>
    <w:next w:val="Textocomentario"/>
    <w:link w:val="AsuntodelcomentarioCar"/>
    <w:uiPriority w:val="99"/>
    <w:semiHidden/>
    <w:unhideWhenUsed/>
    <w:rsid w:val="00FC5B84"/>
    <w:rPr>
      <w:rFonts w:asciiTheme="minorHAnsi" w:eastAsiaTheme="minorEastAsia" w:hAnsiTheme="minorHAnsi" w:cstheme="minorBidi"/>
      <w:b/>
      <w:bCs/>
      <w:lang w:eastAsia="es-CO"/>
    </w:rPr>
  </w:style>
  <w:style w:type="character" w:customStyle="1" w:styleId="AsuntodelcomentarioCar">
    <w:name w:val="Asunto del comentario Car"/>
    <w:basedOn w:val="TextocomentarioCar"/>
    <w:link w:val="Asuntodelcomentario"/>
    <w:uiPriority w:val="99"/>
    <w:semiHidden/>
    <w:rsid w:val="00FC5B84"/>
    <w:rPr>
      <w:rFonts w:ascii="Calibri" w:eastAsiaTheme="minorEastAsia" w:hAnsi="Calibri" w:cs="Times New Roman"/>
      <w:b/>
      <w:bCs/>
      <w:sz w:val="20"/>
      <w:szCs w:val="20"/>
      <w:lang w:eastAsia="es-CO"/>
    </w:rPr>
  </w:style>
  <w:style w:type="paragraph" w:styleId="Epgrafe">
    <w:name w:val="caption"/>
    <w:basedOn w:val="Normal"/>
    <w:next w:val="Normal"/>
    <w:uiPriority w:val="35"/>
    <w:unhideWhenUsed/>
    <w:qFormat/>
    <w:rsid w:val="00FC5B84"/>
    <w:pPr>
      <w:spacing w:line="240" w:lineRule="auto"/>
    </w:pPr>
    <w:rPr>
      <w:b/>
      <w:bCs/>
      <w:smallCaps/>
      <w:color w:val="1F497D" w:themeColor="text2"/>
    </w:rPr>
  </w:style>
  <w:style w:type="table" w:styleId="Tablaconcuadrcula">
    <w:name w:val="Table Grid"/>
    <w:basedOn w:val="Tablanormal"/>
    <w:uiPriority w:val="59"/>
    <w:rsid w:val="00FC5B8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dark">
    <w:name w:val="text-dark"/>
    <w:basedOn w:val="Normal"/>
    <w:rsid w:val="00FC5B8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tulo">
    <w:name w:val="Title"/>
    <w:basedOn w:val="Normal"/>
    <w:next w:val="Normal"/>
    <w:link w:val="TtuloCar"/>
    <w:uiPriority w:val="10"/>
    <w:qFormat/>
    <w:rsid w:val="00FC5B84"/>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tuloCar">
    <w:name w:val="Título Car"/>
    <w:basedOn w:val="Fuentedeprrafopredeter"/>
    <w:link w:val="Ttulo"/>
    <w:uiPriority w:val="10"/>
    <w:rsid w:val="00FC5B84"/>
    <w:rPr>
      <w:rFonts w:asciiTheme="majorHAnsi" w:eastAsiaTheme="majorEastAsia" w:hAnsiTheme="majorHAnsi" w:cstheme="majorBidi"/>
      <w:caps/>
      <w:color w:val="1F497D" w:themeColor="text2"/>
      <w:spacing w:val="-15"/>
      <w:sz w:val="72"/>
      <w:szCs w:val="72"/>
    </w:rPr>
  </w:style>
  <w:style w:type="paragraph" w:styleId="Subttulo">
    <w:name w:val="Subtitle"/>
    <w:basedOn w:val="Normal"/>
    <w:next w:val="Normal"/>
    <w:link w:val="SubttuloCar"/>
    <w:uiPriority w:val="11"/>
    <w:qFormat/>
    <w:rsid w:val="00FC5B84"/>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tuloCar">
    <w:name w:val="Subtítulo Car"/>
    <w:basedOn w:val="Fuentedeprrafopredeter"/>
    <w:link w:val="Subttulo"/>
    <w:uiPriority w:val="11"/>
    <w:rsid w:val="00FC5B84"/>
    <w:rPr>
      <w:rFonts w:asciiTheme="majorHAnsi" w:eastAsiaTheme="majorEastAsia" w:hAnsiTheme="majorHAnsi" w:cstheme="majorBidi"/>
      <w:color w:val="4F81BD" w:themeColor="accent1"/>
      <w:sz w:val="28"/>
      <w:szCs w:val="28"/>
    </w:rPr>
  </w:style>
  <w:style w:type="character" w:customStyle="1" w:styleId="fontstyle01">
    <w:name w:val="fontstyle01"/>
    <w:basedOn w:val="Fuentedeprrafopredeter"/>
    <w:rsid w:val="00FC5B84"/>
    <w:rPr>
      <w:rFonts w:ascii="Arial Narrow" w:hAnsi="Arial Narrow" w:hint="default"/>
      <w:b w:val="0"/>
      <w:bCs w:val="0"/>
      <w:i w:val="0"/>
      <w:iCs w:val="0"/>
      <w:color w:val="000000"/>
      <w:sz w:val="24"/>
      <w:szCs w:val="24"/>
    </w:rPr>
  </w:style>
  <w:style w:type="character" w:styleId="nfasis">
    <w:name w:val="Emphasis"/>
    <w:basedOn w:val="Fuentedeprrafopredeter"/>
    <w:uiPriority w:val="20"/>
    <w:qFormat/>
    <w:rsid w:val="00FC5B84"/>
    <w:rPr>
      <w:i/>
      <w:iCs/>
    </w:rPr>
  </w:style>
  <w:style w:type="paragraph" w:styleId="Revisin">
    <w:name w:val="Revision"/>
    <w:hidden/>
    <w:uiPriority w:val="99"/>
    <w:semiHidden/>
    <w:rsid w:val="00FC5B84"/>
    <w:pPr>
      <w:spacing w:after="0" w:line="240" w:lineRule="auto"/>
    </w:pPr>
    <w:rPr>
      <w:rFonts w:eastAsiaTheme="minorEastAsia"/>
    </w:rPr>
  </w:style>
  <w:style w:type="paragraph" w:styleId="TtulodeTDC">
    <w:name w:val="TOC Heading"/>
    <w:basedOn w:val="Ttulo1"/>
    <w:next w:val="Normal"/>
    <w:uiPriority w:val="39"/>
    <w:semiHidden/>
    <w:unhideWhenUsed/>
    <w:qFormat/>
    <w:rsid w:val="00FC5B84"/>
    <w:pPr>
      <w:outlineLvl w:val="9"/>
    </w:pPr>
  </w:style>
  <w:style w:type="paragraph" w:styleId="TDC1">
    <w:name w:val="toc 1"/>
    <w:basedOn w:val="Normal"/>
    <w:next w:val="Normal"/>
    <w:autoRedefine/>
    <w:uiPriority w:val="39"/>
    <w:unhideWhenUsed/>
    <w:qFormat/>
    <w:rsid w:val="00C939FF"/>
    <w:pPr>
      <w:tabs>
        <w:tab w:val="center" w:pos="426"/>
        <w:tab w:val="right" w:leader="dot" w:pos="8828"/>
      </w:tabs>
      <w:spacing w:after="100"/>
    </w:pPr>
    <w:rPr>
      <w:rFonts w:asciiTheme="majorHAnsi" w:eastAsiaTheme="majorEastAsia" w:hAnsiTheme="majorHAnsi" w:cstheme="majorBidi"/>
      <w:color w:val="000000" w:themeColor="text1"/>
      <w:szCs w:val="36"/>
    </w:rPr>
  </w:style>
  <w:style w:type="paragraph" w:styleId="TDC2">
    <w:name w:val="toc 2"/>
    <w:basedOn w:val="Normal"/>
    <w:next w:val="Normal"/>
    <w:autoRedefine/>
    <w:uiPriority w:val="39"/>
    <w:unhideWhenUsed/>
    <w:qFormat/>
    <w:rsid w:val="00FC5B84"/>
    <w:pPr>
      <w:spacing w:after="100"/>
      <w:ind w:left="220"/>
    </w:pPr>
  </w:style>
  <w:style w:type="paragraph" w:styleId="TDC3">
    <w:name w:val="toc 3"/>
    <w:basedOn w:val="Normal"/>
    <w:next w:val="Normal"/>
    <w:autoRedefine/>
    <w:uiPriority w:val="39"/>
    <w:unhideWhenUsed/>
    <w:qFormat/>
    <w:rsid w:val="00FC5B84"/>
    <w:pPr>
      <w:spacing w:after="100"/>
      <w:ind w:left="440"/>
    </w:pPr>
  </w:style>
  <w:style w:type="character" w:styleId="Textoennegrita">
    <w:name w:val="Strong"/>
    <w:basedOn w:val="Fuentedeprrafopredeter"/>
    <w:uiPriority w:val="22"/>
    <w:qFormat/>
    <w:rsid w:val="00FC5B84"/>
    <w:rPr>
      <w:b/>
      <w:bCs/>
    </w:rPr>
  </w:style>
  <w:style w:type="paragraph" w:styleId="Cita">
    <w:name w:val="Quote"/>
    <w:basedOn w:val="Normal"/>
    <w:next w:val="Normal"/>
    <w:link w:val="CitaCar"/>
    <w:uiPriority w:val="29"/>
    <w:qFormat/>
    <w:rsid w:val="00FC5B84"/>
    <w:pPr>
      <w:spacing w:before="120" w:after="120"/>
      <w:ind w:left="720"/>
    </w:pPr>
    <w:rPr>
      <w:color w:val="1F497D" w:themeColor="text2"/>
      <w:sz w:val="24"/>
      <w:szCs w:val="24"/>
    </w:rPr>
  </w:style>
  <w:style w:type="character" w:customStyle="1" w:styleId="CitaCar">
    <w:name w:val="Cita Car"/>
    <w:basedOn w:val="Fuentedeprrafopredeter"/>
    <w:link w:val="Cita"/>
    <w:uiPriority w:val="29"/>
    <w:rsid w:val="00FC5B84"/>
    <w:rPr>
      <w:rFonts w:eastAsiaTheme="minorEastAsia"/>
      <w:color w:val="1F497D" w:themeColor="text2"/>
      <w:sz w:val="24"/>
      <w:szCs w:val="24"/>
    </w:rPr>
  </w:style>
  <w:style w:type="paragraph" w:styleId="Citadestacada">
    <w:name w:val="Intense Quote"/>
    <w:basedOn w:val="Normal"/>
    <w:next w:val="Normal"/>
    <w:link w:val="CitadestacadaCar"/>
    <w:uiPriority w:val="30"/>
    <w:qFormat/>
    <w:rsid w:val="00FC5B84"/>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destacadaCar">
    <w:name w:val="Cita destacada Car"/>
    <w:basedOn w:val="Fuentedeprrafopredeter"/>
    <w:link w:val="Citadestacada"/>
    <w:uiPriority w:val="30"/>
    <w:rsid w:val="00FC5B84"/>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FC5B84"/>
    <w:rPr>
      <w:i/>
      <w:iCs/>
      <w:color w:val="595959" w:themeColor="text1" w:themeTint="A6"/>
    </w:rPr>
  </w:style>
  <w:style w:type="character" w:styleId="nfasisintenso">
    <w:name w:val="Intense Emphasis"/>
    <w:basedOn w:val="Fuentedeprrafopredeter"/>
    <w:uiPriority w:val="21"/>
    <w:qFormat/>
    <w:rsid w:val="00FC5B84"/>
    <w:rPr>
      <w:b/>
      <w:bCs/>
      <w:i/>
      <w:iCs/>
    </w:rPr>
  </w:style>
  <w:style w:type="character" w:styleId="Referenciasutil">
    <w:name w:val="Subtle Reference"/>
    <w:basedOn w:val="Fuentedeprrafopredeter"/>
    <w:uiPriority w:val="31"/>
    <w:qFormat/>
    <w:rsid w:val="00FC5B84"/>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FC5B84"/>
    <w:rPr>
      <w:b/>
      <w:bCs/>
      <w:smallCaps/>
      <w:color w:val="1F497D" w:themeColor="text2"/>
      <w:u w:val="single"/>
    </w:rPr>
  </w:style>
  <w:style w:type="character" w:styleId="Ttulodellibro">
    <w:name w:val="Book Title"/>
    <w:basedOn w:val="Fuentedeprrafopredeter"/>
    <w:uiPriority w:val="33"/>
    <w:qFormat/>
    <w:rsid w:val="00FC5B84"/>
    <w:rPr>
      <w:b/>
      <w:bCs/>
      <w:smallCaps/>
      <w:spacing w:val="10"/>
    </w:rPr>
  </w:style>
  <w:style w:type="character" w:styleId="Hipervnculovisitado">
    <w:name w:val="FollowedHyperlink"/>
    <w:basedOn w:val="Fuentedeprrafopredeter"/>
    <w:uiPriority w:val="99"/>
    <w:semiHidden/>
    <w:unhideWhenUsed/>
    <w:rsid w:val="00FC5B84"/>
    <w:rPr>
      <w:color w:val="800080" w:themeColor="followedHyperlink"/>
      <w:u w:val="single"/>
    </w:rPr>
  </w:style>
  <w:style w:type="character" w:customStyle="1" w:styleId="addmd">
    <w:name w:val="addmd"/>
    <w:basedOn w:val="Fuentedeprrafopredeter"/>
    <w:rsid w:val="00FC5B84"/>
  </w:style>
  <w:style w:type="paragraph" w:customStyle="1" w:styleId="xmsonormal">
    <w:name w:val="x_msonormal"/>
    <w:basedOn w:val="Normal"/>
    <w:rsid w:val="008D720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inespaciadoCar">
    <w:name w:val="Sin espaciado Car"/>
    <w:basedOn w:val="Fuentedeprrafopredeter"/>
    <w:link w:val="Sinespaciado"/>
    <w:uiPriority w:val="1"/>
    <w:rsid w:val="00F43F4E"/>
    <w:rPr>
      <w:rFonts w:eastAsiaTheme="minorEastAsia"/>
    </w:rPr>
  </w:style>
</w:styles>
</file>

<file path=word/webSettings.xml><?xml version="1.0" encoding="utf-8"?>
<w:webSettings xmlns:r="http://schemas.openxmlformats.org/officeDocument/2006/relationships" xmlns:w="http://schemas.openxmlformats.org/wordprocessingml/2006/main">
  <w:divs>
    <w:div w:id="21329237">
      <w:bodyDiv w:val="1"/>
      <w:marLeft w:val="0"/>
      <w:marRight w:val="0"/>
      <w:marTop w:val="0"/>
      <w:marBottom w:val="0"/>
      <w:divBdr>
        <w:top w:val="none" w:sz="0" w:space="0" w:color="auto"/>
        <w:left w:val="none" w:sz="0" w:space="0" w:color="auto"/>
        <w:bottom w:val="none" w:sz="0" w:space="0" w:color="auto"/>
        <w:right w:val="none" w:sz="0" w:space="0" w:color="auto"/>
      </w:divBdr>
    </w:div>
    <w:div w:id="101078335">
      <w:bodyDiv w:val="1"/>
      <w:marLeft w:val="0"/>
      <w:marRight w:val="0"/>
      <w:marTop w:val="0"/>
      <w:marBottom w:val="0"/>
      <w:divBdr>
        <w:top w:val="none" w:sz="0" w:space="0" w:color="auto"/>
        <w:left w:val="none" w:sz="0" w:space="0" w:color="auto"/>
        <w:bottom w:val="none" w:sz="0" w:space="0" w:color="auto"/>
        <w:right w:val="none" w:sz="0" w:space="0" w:color="auto"/>
      </w:divBdr>
      <w:divsChild>
        <w:div w:id="346710326">
          <w:marLeft w:val="0"/>
          <w:marRight w:val="0"/>
          <w:marTop w:val="0"/>
          <w:marBottom w:val="0"/>
          <w:divBdr>
            <w:top w:val="none" w:sz="0" w:space="0" w:color="auto"/>
            <w:left w:val="none" w:sz="0" w:space="0" w:color="auto"/>
            <w:bottom w:val="none" w:sz="0" w:space="0" w:color="auto"/>
            <w:right w:val="none" w:sz="0" w:space="0" w:color="auto"/>
          </w:divBdr>
        </w:div>
      </w:divsChild>
    </w:div>
    <w:div w:id="130179142">
      <w:bodyDiv w:val="1"/>
      <w:marLeft w:val="0"/>
      <w:marRight w:val="0"/>
      <w:marTop w:val="0"/>
      <w:marBottom w:val="0"/>
      <w:divBdr>
        <w:top w:val="none" w:sz="0" w:space="0" w:color="auto"/>
        <w:left w:val="none" w:sz="0" w:space="0" w:color="auto"/>
        <w:bottom w:val="none" w:sz="0" w:space="0" w:color="auto"/>
        <w:right w:val="none" w:sz="0" w:space="0" w:color="auto"/>
      </w:divBdr>
    </w:div>
    <w:div w:id="164705563">
      <w:bodyDiv w:val="1"/>
      <w:marLeft w:val="0"/>
      <w:marRight w:val="0"/>
      <w:marTop w:val="0"/>
      <w:marBottom w:val="0"/>
      <w:divBdr>
        <w:top w:val="none" w:sz="0" w:space="0" w:color="auto"/>
        <w:left w:val="none" w:sz="0" w:space="0" w:color="auto"/>
        <w:bottom w:val="none" w:sz="0" w:space="0" w:color="auto"/>
        <w:right w:val="none" w:sz="0" w:space="0" w:color="auto"/>
      </w:divBdr>
    </w:div>
    <w:div w:id="270206112">
      <w:bodyDiv w:val="1"/>
      <w:marLeft w:val="0"/>
      <w:marRight w:val="0"/>
      <w:marTop w:val="0"/>
      <w:marBottom w:val="0"/>
      <w:divBdr>
        <w:top w:val="none" w:sz="0" w:space="0" w:color="auto"/>
        <w:left w:val="none" w:sz="0" w:space="0" w:color="auto"/>
        <w:bottom w:val="none" w:sz="0" w:space="0" w:color="auto"/>
        <w:right w:val="none" w:sz="0" w:space="0" w:color="auto"/>
      </w:divBdr>
    </w:div>
    <w:div w:id="294943550">
      <w:bodyDiv w:val="1"/>
      <w:marLeft w:val="0"/>
      <w:marRight w:val="0"/>
      <w:marTop w:val="0"/>
      <w:marBottom w:val="0"/>
      <w:divBdr>
        <w:top w:val="none" w:sz="0" w:space="0" w:color="auto"/>
        <w:left w:val="none" w:sz="0" w:space="0" w:color="auto"/>
        <w:bottom w:val="none" w:sz="0" w:space="0" w:color="auto"/>
        <w:right w:val="none" w:sz="0" w:space="0" w:color="auto"/>
      </w:divBdr>
    </w:div>
    <w:div w:id="357515021">
      <w:bodyDiv w:val="1"/>
      <w:marLeft w:val="0"/>
      <w:marRight w:val="0"/>
      <w:marTop w:val="0"/>
      <w:marBottom w:val="0"/>
      <w:divBdr>
        <w:top w:val="none" w:sz="0" w:space="0" w:color="auto"/>
        <w:left w:val="none" w:sz="0" w:space="0" w:color="auto"/>
        <w:bottom w:val="none" w:sz="0" w:space="0" w:color="auto"/>
        <w:right w:val="none" w:sz="0" w:space="0" w:color="auto"/>
      </w:divBdr>
      <w:divsChild>
        <w:div w:id="400373791">
          <w:marLeft w:val="600"/>
          <w:marRight w:val="600"/>
          <w:marTop w:val="0"/>
          <w:marBottom w:val="0"/>
          <w:divBdr>
            <w:top w:val="none" w:sz="0" w:space="0" w:color="auto"/>
            <w:left w:val="none" w:sz="0" w:space="0" w:color="auto"/>
            <w:bottom w:val="none" w:sz="0" w:space="0" w:color="auto"/>
            <w:right w:val="none" w:sz="0" w:space="0" w:color="auto"/>
          </w:divBdr>
          <w:divsChild>
            <w:div w:id="973753936">
              <w:marLeft w:val="0"/>
              <w:marRight w:val="728"/>
              <w:marTop w:val="0"/>
              <w:marBottom w:val="750"/>
              <w:divBdr>
                <w:top w:val="none" w:sz="0" w:space="0" w:color="auto"/>
                <w:left w:val="none" w:sz="0" w:space="0" w:color="auto"/>
                <w:bottom w:val="none" w:sz="0" w:space="0" w:color="auto"/>
                <w:right w:val="none" w:sz="0" w:space="0" w:color="auto"/>
              </w:divBdr>
            </w:div>
            <w:div w:id="6639328">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374936530">
      <w:bodyDiv w:val="1"/>
      <w:marLeft w:val="0"/>
      <w:marRight w:val="0"/>
      <w:marTop w:val="0"/>
      <w:marBottom w:val="0"/>
      <w:divBdr>
        <w:top w:val="none" w:sz="0" w:space="0" w:color="auto"/>
        <w:left w:val="none" w:sz="0" w:space="0" w:color="auto"/>
        <w:bottom w:val="none" w:sz="0" w:space="0" w:color="auto"/>
        <w:right w:val="none" w:sz="0" w:space="0" w:color="auto"/>
      </w:divBdr>
    </w:div>
    <w:div w:id="532696422">
      <w:bodyDiv w:val="1"/>
      <w:marLeft w:val="0"/>
      <w:marRight w:val="0"/>
      <w:marTop w:val="0"/>
      <w:marBottom w:val="0"/>
      <w:divBdr>
        <w:top w:val="none" w:sz="0" w:space="0" w:color="auto"/>
        <w:left w:val="none" w:sz="0" w:space="0" w:color="auto"/>
        <w:bottom w:val="none" w:sz="0" w:space="0" w:color="auto"/>
        <w:right w:val="none" w:sz="0" w:space="0" w:color="auto"/>
      </w:divBdr>
    </w:div>
    <w:div w:id="544174453">
      <w:bodyDiv w:val="1"/>
      <w:marLeft w:val="0"/>
      <w:marRight w:val="0"/>
      <w:marTop w:val="0"/>
      <w:marBottom w:val="0"/>
      <w:divBdr>
        <w:top w:val="none" w:sz="0" w:space="0" w:color="auto"/>
        <w:left w:val="none" w:sz="0" w:space="0" w:color="auto"/>
        <w:bottom w:val="none" w:sz="0" w:space="0" w:color="auto"/>
        <w:right w:val="none" w:sz="0" w:space="0" w:color="auto"/>
      </w:divBdr>
    </w:div>
    <w:div w:id="552544154">
      <w:bodyDiv w:val="1"/>
      <w:marLeft w:val="0"/>
      <w:marRight w:val="0"/>
      <w:marTop w:val="0"/>
      <w:marBottom w:val="0"/>
      <w:divBdr>
        <w:top w:val="none" w:sz="0" w:space="0" w:color="auto"/>
        <w:left w:val="none" w:sz="0" w:space="0" w:color="auto"/>
        <w:bottom w:val="none" w:sz="0" w:space="0" w:color="auto"/>
        <w:right w:val="none" w:sz="0" w:space="0" w:color="auto"/>
      </w:divBdr>
    </w:div>
    <w:div w:id="554045665">
      <w:bodyDiv w:val="1"/>
      <w:marLeft w:val="0"/>
      <w:marRight w:val="0"/>
      <w:marTop w:val="0"/>
      <w:marBottom w:val="0"/>
      <w:divBdr>
        <w:top w:val="none" w:sz="0" w:space="0" w:color="auto"/>
        <w:left w:val="none" w:sz="0" w:space="0" w:color="auto"/>
        <w:bottom w:val="none" w:sz="0" w:space="0" w:color="auto"/>
        <w:right w:val="none" w:sz="0" w:space="0" w:color="auto"/>
      </w:divBdr>
    </w:div>
    <w:div w:id="576939091">
      <w:bodyDiv w:val="1"/>
      <w:marLeft w:val="0"/>
      <w:marRight w:val="0"/>
      <w:marTop w:val="0"/>
      <w:marBottom w:val="0"/>
      <w:divBdr>
        <w:top w:val="none" w:sz="0" w:space="0" w:color="auto"/>
        <w:left w:val="none" w:sz="0" w:space="0" w:color="auto"/>
        <w:bottom w:val="none" w:sz="0" w:space="0" w:color="auto"/>
        <w:right w:val="none" w:sz="0" w:space="0" w:color="auto"/>
      </w:divBdr>
    </w:div>
    <w:div w:id="656881497">
      <w:bodyDiv w:val="1"/>
      <w:marLeft w:val="0"/>
      <w:marRight w:val="0"/>
      <w:marTop w:val="0"/>
      <w:marBottom w:val="0"/>
      <w:divBdr>
        <w:top w:val="none" w:sz="0" w:space="0" w:color="auto"/>
        <w:left w:val="none" w:sz="0" w:space="0" w:color="auto"/>
        <w:bottom w:val="none" w:sz="0" w:space="0" w:color="auto"/>
        <w:right w:val="none" w:sz="0" w:space="0" w:color="auto"/>
      </w:divBdr>
    </w:div>
    <w:div w:id="771168372">
      <w:bodyDiv w:val="1"/>
      <w:marLeft w:val="0"/>
      <w:marRight w:val="0"/>
      <w:marTop w:val="0"/>
      <w:marBottom w:val="0"/>
      <w:divBdr>
        <w:top w:val="none" w:sz="0" w:space="0" w:color="auto"/>
        <w:left w:val="none" w:sz="0" w:space="0" w:color="auto"/>
        <w:bottom w:val="none" w:sz="0" w:space="0" w:color="auto"/>
        <w:right w:val="none" w:sz="0" w:space="0" w:color="auto"/>
      </w:divBdr>
    </w:div>
    <w:div w:id="808401760">
      <w:bodyDiv w:val="1"/>
      <w:marLeft w:val="0"/>
      <w:marRight w:val="0"/>
      <w:marTop w:val="0"/>
      <w:marBottom w:val="0"/>
      <w:divBdr>
        <w:top w:val="none" w:sz="0" w:space="0" w:color="auto"/>
        <w:left w:val="none" w:sz="0" w:space="0" w:color="auto"/>
        <w:bottom w:val="none" w:sz="0" w:space="0" w:color="auto"/>
        <w:right w:val="none" w:sz="0" w:space="0" w:color="auto"/>
      </w:divBdr>
    </w:div>
    <w:div w:id="811601766">
      <w:bodyDiv w:val="1"/>
      <w:marLeft w:val="0"/>
      <w:marRight w:val="0"/>
      <w:marTop w:val="0"/>
      <w:marBottom w:val="0"/>
      <w:divBdr>
        <w:top w:val="none" w:sz="0" w:space="0" w:color="auto"/>
        <w:left w:val="none" w:sz="0" w:space="0" w:color="auto"/>
        <w:bottom w:val="none" w:sz="0" w:space="0" w:color="auto"/>
        <w:right w:val="none" w:sz="0" w:space="0" w:color="auto"/>
      </w:divBdr>
    </w:div>
    <w:div w:id="939097381">
      <w:bodyDiv w:val="1"/>
      <w:marLeft w:val="0"/>
      <w:marRight w:val="0"/>
      <w:marTop w:val="0"/>
      <w:marBottom w:val="0"/>
      <w:divBdr>
        <w:top w:val="none" w:sz="0" w:space="0" w:color="auto"/>
        <w:left w:val="none" w:sz="0" w:space="0" w:color="auto"/>
        <w:bottom w:val="none" w:sz="0" w:space="0" w:color="auto"/>
        <w:right w:val="none" w:sz="0" w:space="0" w:color="auto"/>
      </w:divBdr>
    </w:div>
    <w:div w:id="993224147">
      <w:bodyDiv w:val="1"/>
      <w:marLeft w:val="0"/>
      <w:marRight w:val="0"/>
      <w:marTop w:val="0"/>
      <w:marBottom w:val="0"/>
      <w:divBdr>
        <w:top w:val="none" w:sz="0" w:space="0" w:color="auto"/>
        <w:left w:val="none" w:sz="0" w:space="0" w:color="auto"/>
        <w:bottom w:val="none" w:sz="0" w:space="0" w:color="auto"/>
        <w:right w:val="none" w:sz="0" w:space="0" w:color="auto"/>
      </w:divBdr>
    </w:div>
    <w:div w:id="1015888130">
      <w:bodyDiv w:val="1"/>
      <w:marLeft w:val="0"/>
      <w:marRight w:val="0"/>
      <w:marTop w:val="0"/>
      <w:marBottom w:val="0"/>
      <w:divBdr>
        <w:top w:val="none" w:sz="0" w:space="0" w:color="auto"/>
        <w:left w:val="none" w:sz="0" w:space="0" w:color="auto"/>
        <w:bottom w:val="none" w:sz="0" w:space="0" w:color="auto"/>
        <w:right w:val="none" w:sz="0" w:space="0" w:color="auto"/>
      </w:divBdr>
    </w:div>
    <w:div w:id="1017316210">
      <w:bodyDiv w:val="1"/>
      <w:marLeft w:val="0"/>
      <w:marRight w:val="0"/>
      <w:marTop w:val="0"/>
      <w:marBottom w:val="0"/>
      <w:divBdr>
        <w:top w:val="none" w:sz="0" w:space="0" w:color="auto"/>
        <w:left w:val="none" w:sz="0" w:space="0" w:color="auto"/>
        <w:bottom w:val="none" w:sz="0" w:space="0" w:color="auto"/>
        <w:right w:val="none" w:sz="0" w:space="0" w:color="auto"/>
      </w:divBdr>
    </w:div>
    <w:div w:id="1081944930">
      <w:bodyDiv w:val="1"/>
      <w:marLeft w:val="0"/>
      <w:marRight w:val="0"/>
      <w:marTop w:val="0"/>
      <w:marBottom w:val="0"/>
      <w:divBdr>
        <w:top w:val="none" w:sz="0" w:space="0" w:color="auto"/>
        <w:left w:val="none" w:sz="0" w:space="0" w:color="auto"/>
        <w:bottom w:val="none" w:sz="0" w:space="0" w:color="auto"/>
        <w:right w:val="none" w:sz="0" w:space="0" w:color="auto"/>
      </w:divBdr>
    </w:div>
    <w:div w:id="1131092104">
      <w:bodyDiv w:val="1"/>
      <w:marLeft w:val="0"/>
      <w:marRight w:val="0"/>
      <w:marTop w:val="0"/>
      <w:marBottom w:val="0"/>
      <w:divBdr>
        <w:top w:val="none" w:sz="0" w:space="0" w:color="auto"/>
        <w:left w:val="none" w:sz="0" w:space="0" w:color="auto"/>
        <w:bottom w:val="none" w:sz="0" w:space="0" w:color="auto"/>
        <w:right w:val="none" w:sz="0" w:space="0" w:color="auto"/>
      </w:divBdr>
    </w:div>
    <w:div w:id="1201629098">
      <w:bodyDiv w:val="1"/>
      <w:marLeft w:val="0"/>
      <w:marRight w:val="0"/>
      <w:marTop w:val="0"/>
      <w:marBottom w:val="0"/>
      <w:divBdr>
        <w:top w:val="none" w:sz="0" w:space="0" w:color="auto"/>
        <w:left w:val="none" w:sz="0" w:space="0" w:color="auto"/>
        <w:bottom w:val="none" w:sz="0" w:space="0" w:color="auto"/>
        <w:right w:val="none" w:sz="0" w:space="0" w:color="auto"/>
      </w:divBdr>
    </w:div>
    <w:div w:id="1283608635">
      <w:bodyDiv w:val="1"/>
      <w:marLeft w:val="0"/>
      <w:marRight w:val="0"/>
      <w:marTop w:val="0"/>
      <w:marBottom w:val="0"/>
      <w:divBdr>
        <w:top w:val="none" w:sz="0" w:space="0" w:color="auto"/>
        <w:left w:val="none" w:sz="0" w:space="0" w:color="auto"/>
        <w:bottom w:val="none" w:sz="0" w:space="0" w:color="auto"/>
        <w:right w:val="none" w:sz="0" w:space="0" w:color="auto"/>
      </w:divBdr>
    </w:div>
    <w:div w:id="1302884081">
      <w:bodyDiv w:val="1"/>
      <w:marLeft w:val="0"/>
      <w:marRight w:val="0"/>
      <w:marTop w:val="0"/>
      <w:marBottom w:val="0"/>
      <w:divBdr>
        <w:top w:val="none" w:sz="0" w:space="0" w:color="auto"/>
        <w:left w:val="none" w:sz="0" w:space="0" w:color="auto"/>
        <w:bottom w:val="none" w:sz="0" w:space="0" w:color="auto"/>
        <w:right w:val="none" w:sz="0" w:space="0" w:color="auto"/>
      </w:divBdr>
    </w:div>
    <w:div w:id="1402097628">
      <w:bodyDiv w:val="1"/>
      <w:marLeft w:val="0"/>
      <w:marRight w:val="0"/>
      <w:marTop w:val="0"/>
      <w:marBottom w:val="0"/>
      <w:divBdr>
        <w:top w:val="none" w:sz="0" w:space="0" w:color="auto"/>
        <w:left w:val="none" w:sz="0" w:space="0" w:color="auto"/>
        <w:bottom w:val="none" w:sz="0" w:space="0" w:color="auto"/>
        <w:right w:val="none" w:sz="0" w:space="0" w:color="auto"/>
      </w:divBdr>
    </w:div>
    <w:div w:id="1460490124">
      <w:bodyDiv w:val="1"/>
      <w:marLeft w:val="0"/>
      <w:marRight w:val="0"/>
      <w:marTop w:val="0"/>
      <w:marBottom w:val="0"/>
      <w:divBdr>
        <w:top w:val="none" w:sz="0" w:space="0" w:color="auto"/>
        <w:left w:val="none" w:sz="0" w:space="0" w:color="auto"/>
        <w:bottom w:val="none" w:sz="0" w:space="0" w:color="auto"/>
        <w:right w:val="none" w:sz="0" w:space="0" w:color="auto"/>
      </w:divBdr>
    </w:div>
    <w:div w:id="1487745665">
      <w:bodyDiv w:val="1"/>
      <w:marLeft w:val="0"/>
      <w:marRight w:val="0"/>
      <w:marTop w:val="0"/>
      <w:marBottom w:val="0"/>
      <w:divBdr>
        <w:top w:val="none" w:sz="0" w:space="0" w:color="auto"/>
        <w:left w:val="none" w:sz="0" w:space="0" w:color="auto"/>
        <w:bottom w:val="none" w:sz="0" w:space="0" w:color="auto"/>
        <w:right w:val="none" w:sz="0" w:space="0" w:color="auto"/>
      </w:divBdr>
    </w:div>
    <w:div w:id="1495343853">
      <w:bodyDiv w:val="1"/>
      <w:marLeft w:val="0"/>
      <w:marRight w:val="0"/>
      <w:marTop w:val="0"/>
      <w:marBottom w:val="0"/>
      <w:divBdr>
        <w:top w:val="none" w:sz="0" w:space="0" w:color="auto"/>
        <w:left w:val="none" w:sz="0" w:space="0" w:color="auto"/>
        <w:bottom w:val="none" w:sz="0" w:space="0" w:color="auto"/>
        <w:right w:val="none" w:sz="0" w:space="0" w:color="auto"/>
      </w:divBdr>
    </w:div>
    <w:div w:id="1602299673">
      <w:bodyDiv w:val="1"/>
      <w:marLeft w:val="0"/>
      <w:marRight w:val="0"/>
      <w:marTop w:val="0"/>
      <w:marBottom w:val="0"/>
      <w:divBdr>
        <w:top w:val="none" w:sz="0" w:space="0" w:color="auto"/>
        <w:left w:val="none" w:sz="0" w:space="0" w:color="auto"/>
        <w:bottom w:val="none" w:sz="0" w:space="0" w:color="auto"/>
        <w:right w:val="none" w:sz="0" w:space="0" w:color="auto"/>
      </w:divBdr>
    </w:div>
    <w:div w:id="1605847170">
      <w:bodyDiv w:val="1"/>
      <w:marLeft w:val="0"/>
      <w:marRight w:val="0"/>
      <w:marTop w:val="0"/>
      <w:marBottom w:val="0"/>
      <w:divBdr>
        <w:top w:val="none" w:sz="0" w:space="0" w:color="auto"/>
        <w:left w:val="none" w:sz="0" w:space="0" w:color="auto"/>
        <w:bottom w:val="none" w:sz="0" w:space="0" w:color="auto"/>
        <w:right w:val="none" w:sz="0" w:space="0" w:color="auto"/>
      </w:divBdr>
      <w:divsChild>
        <w:div w:id="998775213">
          <w:marLeft w:val="446"/>
          <w:marRight w:val="0"/>
          <w:marTop w:val="0"/>
          <w:marBottom w:val="0"/>
          <w:divBdr>
            <w:top w:val="none" w:sz="0" w:space="0" w:color="auto"/>
            <w:left w:val="none" w:sz="0" w:space="0" w:color="auto"/>
            <w:bottom w:val="none" w:sz="0" w:space="0" w:color="auto"/>
            <w:right w:val="none" w:sz="0" w:space="0" w:color="auto"/>
          </w:divBdr>
        </w:div>
        <w:div w:id="418530452">
          <w:marLeft w:val="446"/>
          <w:marRight w:val="0"/>
          <w:marTop w:val="0"/>
          <w:marBottom w:val="0"/>
          <w:divBdr>
            <w:top w:val="none" w:sz="0" w:space="0" w:color="auto"/>
            <w:left w:val="none" w:sz="0" w:space="0" w:color="auto"/>
            <w:bottom w:val="none" w:sz="0" w:space="0" w:color="auto"/>
            <w:right w:val="none" w:sz="0" w:space="0" w:color="auto"/>
          </w:divBdr>
        </w:div>
        <w:div w:id="1944653202">
          <w:marLeft w:val="446"/>
          <w:marRight w:val="0"/>
          <w:marTop w:val="0"/>
          <w:marBottom w:val="0"/>
          <w:divBdr>
            <w:top w:val="none" w:sz="0" w:space="0" w:color="auto"/>
            <w:left w:val="none" w:sz="0" w:space="0" w:color="auto"/>
            <w:bottom w:val="none" w:sz="0" w:space="0" w:color="auto"/>
            <w:right w:val="none" w:sz="0" w:space="0" w:color="auto"/>
          </w:divBdr>
        </w:div>
        <w:div w:id="384525358">
          <w:marLeft w:val="446"/>
          <w:marRight w:val="0"/>
          <w:marTop w:val="0"/>
          <w:marBottom w:val="0"/>
          <w:divBdr>
            <w:top w:val="none" w:sz="0" w:space="0" w:color="auto"/>
            <w:left w:val="none" w:sz="0" w:space="0" w:color="auto"/>
            <w:bottom w:val="none" w:sz="0" w:space="0" w:color="auto"/>
            <w:right w:val="none" w:sz="0" w:space="0" w:color="auto"/>
          </w:divBdr>
        </w:div>
      </w:divsChild>
    </w:div>
    <w:div w:id="1658193856">
      <w:bodyDiv w:val="1"/>
      <w:marLeft w:val="0"/>
      <w:marRight w:val="0"/>
      <w:marTop w:val="0"/>
      <w:marBottom w:val="0"/>
      <w:divBdr>
        <w:top w:val="none" w:sz="0" w:space="0" w:color="auto"/>
        <w:left w:val="none" w:sz="0" w:space="0" w:color="auto"/>
        <w:bottom w:val="none" w:sz="0" w:space="0" w:color="auto"/>
        <w:right w:val="none" w:sz="0" w:space="0" w:color="auto"/>
      </w:divBdr>
    </w:div>
    <w:div w:id="1672024842">
      <w:bodyDiv w:val="1"/>
      <w:marLeft w:val="0"/>
      <w:marRight w:val="0"/>
      <w:marTop w:val="0"/>
      <w:marBottom w:val="0"/>
      <w:divBdr>
        <w:top w:val="none" w:sz="0" w:space="0" w:color="auto"/>
        <w:left w:val="none" w:sz="0" w:space="0" w:color="auto"/>
        <w:bottom w:val="none" w:sz="0" w:space="0" w:color="auto"/>
        <w:right w:val="none" w:sz="0" w:space="0" w:color="auto"/>
      </w:divBdr>
    </w:div>
    <w:div w:id="1741362158">
      <w:bodyDiv w:val="1"/>
      <w:marLeft w:val="0"/>
      <w:marRight w:val="0"/>
      <w:marTop w:val="0"/>
      <w:marBottom w:val="0"/>
      <w:divBdr>
        <w:top w:val="none" w:sz="0" w:space="0" w:color="auto"/>
        <w:left w:val="none" w:sz="0" w:space="0" w:color="auto"/>
        <w:bottom w:val="none" w:sz="0" w:space="0" w:color="auto"/>
        <w:right w:val="none" w:sz="0" w:space="0" w:color="auto"/>
      </w:divBdr>
    </w:div>
    <w:div w:id="1786802299">
      <w:bodyDiv w:val="1"/>
      <w:marLeft w:val="0"/>
      <w:marRight w:val="0"/>
      <w:marTop w:val="0"/>
      <w:marBottom w:val="0"/>
      <w:divBdr>
        <w:top w:val="none" w:sz="0" w:space="0" w:color="auto"/>
        <w:left w:val="none" w:sz="0" w:space="0" w:color="auto"/>
        <w:bottom w:val="none" w:sz="0" w:space="0" w:color="auto"/>
        <w:right w:val="none" w:sz="0" w:space="0" w:color="auto"/>
      </w:divBdr>
    </w:div>
    <w:div w:id="1819569197">
      <w:bodyDiv w:val="1"/>
      <w:marLeft w:val="0"/>
      <w:marRight w:val="0"/>
      <w:marTop w:val="0"/>
      <w:marBottom w:val="0"/>
      <w:divBdr>
        <w:top w:val="none" w:sz="0" w:space="0" w:color="auto"/>
        <w:left w:val="none" w:sz="0" w:space="0" w:color="auto"/>
        <w:bottom w:val="none" w:sz="0" w:space="0" w:color="auto"/>
        <w:right w:val="none" w:sz="0" w:space="0" w:color="auto"/>
      </w:divBdr>
    </w:div>
    <w:div w:id="1829133135">
      <w:bodyDiv w:val="1"/>
      <w:marLeft w:val="0"/>
      <w:marRight w:val="0"/>
      <w:marTop w:val="0"/>
      <w:marBottom w:val="0"/>
      <w:divBdr>
        <w:top w:val="none" w:sz="0" w:space="0" w:color="auto"/>
        <w:left w:val="none" w:sz="0" w:space="0" w:color="auto"/>
        <w:bottom w:val="none" w:sz="0" w:space="0" w:color="auto"/>
        <w:right w:val="none" w:sz="0" w:space="0" w:color="auto"/>
      </w:divBdr>
    </w:div>
    <w:div w:id="1888713987">
      <w:bodyDiv w:val="1"/>
      <w:marLeft w:val="0"/>
      <w:marRight w:val="0"/>
      <w:marTop w:val="0"/>
      <w:marBottom w:val="0"/>
      <w:divBdr>
        <w:top w:val="none" w:sz="0" w:space="0" w:color="auto"/>
        <w:left w:val="none" w:sz="0" w:space="0" w:color="auto"/>
        <w:bottom w:val="none" w:sz="0" w:space="0" w:color="auto"/>
        <w:right w:val="none" w:sz="0" w:space="0" w:color="auto"/>
      </w:divBdr>
    </w:div>
    <w:div w:id="1909922181">
      <w:bodyDiv w:val="1"/>
      <w:marLeft w:val="0"/>
      <w:marRight w:val="0"/>
      <w:marTop w:val="0"/>
      <w:marBottom w:val="0"/>
      <w:divBdr>
        <w:top w:val="none" w:sz="0" w:space="0" w:color="auto"/>
        <w:left w:val="none" w:sz="0" w:space="0" w:color="auto"/>
        <w:bottom w:val="none" w:sz="0" w:space="0" w:color="auto"/>
        <w:right w:val="none" w:sz="0" w:space="0" w:color="auto"/>
      </w:divBdr>
    </w:div>
    <w:div w:id="206995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hyperlink" Target="http://www.monitorciudadano.co/explor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7.xml"/><Relationship Id="rId25" Type="http://schemas.openxmlformats.org/officeDocument/2006/relationships/hyperlink" Target="http://www.monitorciudadano.co/explora"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www.monitorciudadano.co/explora"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www.monitorciudadano.co/explora" TargetMode="Externa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9.xml"/><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www.monitorciudadano.co" TargetMode="External"/><Relationship Id="rId14" Type="http://schemas.openxmlformats.org/officeDocument/2006/relationships/chart" Target="charts/chart4.xml"/><Relationship Id="rId22" Type="http://schemas.openxmlformats.org/officeDocument/2006/relationships/footer" Target="footer1.xml"/><Relationship Id="rId27" Type="http://schemas.openxmlformats.org/officeDocument/2006/relationships/fontTable" Target="fontTable.xml"/><Relationship Id="rId30"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www.monitorciudadano.co/explora" TargetMode="External"/><Relationship Id="rId2" Type="http://schemas.openxmlformats.org/officeDocument/2006/relationships/hyperlink" Target="http://www.monitorciudadano.co/documentos/corrupcion_en_territorios_de_paz.pdf" TargetMode="External"/><Relationship Id="rId1" Type="http://schemas.openxmlformats.org/officeDocument/2006/relationships/hyperlink" Target="http://www.monitorciudadano.co/documentos/corrupcion_en_territorios_de_paz.pdf" TargetMode="External"/><Relationship Id="rId5" Type="http://schemas.openxmlformats.org/officeDocument/2006/relationships/hyperlink" Target="http://indicedetransparencia.org.co/Portals/0/Documentos/ITEP%2015an%CC%83os%20(1).pdf" TargetMode="External"/><Relationship Id="rId4" Type="http://schemas.openxmlformats.org/officeDocument/2006/relationships/hyperlink" Target="http://www.monitorciudadano.co/explor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EcoAnalitica\Downloads\Base%20de%20datos%20190319_Final%20con%20indicadores_.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Lenovo\Downloads\Base%20de%20datos%20con%20ajuste%20de%20%20indicadoresrev%2027032019.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mrodriguez\Downloads\Base%20de%20datos%20con%20ajuste%20de%20%20indicadores%20rev%2028032019.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mrodriguez\Downloads\Base%20de%20datos%20con%20ajuste%20de%20%20indicadores%20rev%2028032019.xlsx"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mrodriguez\Downloads\Base%20de%20datos%20con%20ajuste%20de%20%20indicadores%20rev%2028032019%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rodriguez\Downloads\Base%20de%20datos%20con%20ajuste%20de%20%20indicadores%20rev%2028032019%20(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Copia%20de%20Base%20de%20datos%20con%20ajuste%20de%20%20indicadores%20rev%2002042019.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Lenovo\Downloads\Base%20de%20datos%20con%20ajuste%20de%20%20indicadoresrev%2027032019.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2019\Bases%20de%20datos\Exploraci&#243;n%20Datos%20Monitor%20Ciudadano%2005022019.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EcoAnalitica\Downloads\Base%20de%20datos%20190319_Final%20con%20indicadores_.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CO"/>
  <c:style val="7"/>
  <c:chart>
    <c:autoTitleDeleted val="1"/>
    <c:plotArea>
      <c:layout/>
      <c:pieChart>
        <c:varyColors val="1"/>
        <c:ser>
          <c:idx val="0"/>
          <c:order val="0"/>
          <c:dLbls>
            <c:dLbl>
              <c:idx val="0"/>
              <c:layout>
                <c:manualLayout>
                  <c:x val="-0.20207081003235638"/>
                  <c:y val="-0.11758440706275354"/>
                </c:manualLayout>
              </c:layout>
              <c:spPr/>
              <c:txPr>
                <a:bodyPr rot="0" vert="horz"/>
                <a:lstStyle/>
                <a:p>
                  <a:pPr>
                    <a:defRPr sz="1200"/>
                  </a:pPr>
                  <a:endParaRPr lang="es-CO"/>
                </a:p>
              </c:txPr>
              <c:showPercent val="1"/>
            </c:dLbl>
            <c:dLbl>
              <c:idx val="1"/>
              <c:layout>
                <c:manualLayout>
                  <c:x val="0.1316931939327062"/>
                  <c:y val="6.2114650441422309E-2"/>
                </c:manualLayout>
              </c:layout>
              <c:spPr/>
              <c:txPr>
                <a:bodyPr rot="0" vert="horz"/>
                <a:lstStyle/>
                <a:p>
                  <a:pPr>
                    <a:defRPr sz="1200"/>
                  </a:pPr>
                  <a:endParaRPr lang="es-CO"/>
                </a:p>
              </c:txPr>
              <c:showPercent val="1"/>
            </c:dLbl>
            <c:dLbl>
              <c:idx val="2"/>
              <c:layout>
                <c:manualLayout>
                  <c:x val="4.0127430626991131E-2"/>
                  <c:y val="0.13959108804581249"/>
                </c:manualLayout>
              </c:layout>
              <c:spPr/>
              <c:txPr>
                <a:bodyPr rot="0" vert="horz"/>
                <a:lstStyle/>
                <a:p>
                  <a:pPr>
                    <a:defRPr sz="1200"/>
                  </a:pPr>
                  <a:endParaRPr lang="es-CO"/>
                </a:p>
              </c:txPr>
              <c:showPercent val="1"/>
            </c:dLbl>
            <c:txPr>
              <a:bodyPr rot="0" vert="horz"/>
              <a:lstStyle/>
              <a:p>
                <a:pPr>
                  <a:defRPr sz="1400"/>
                </a:pPr>
                <a:endParaRPr lang="es-CO"/>
              </a:p>
            </c:txPr>
            <c:showPercent val="1"/>
            <c:showLeaderLines val="1"/>
            <c:extLst xmlns:c16r2="http://schemas.microsoft.com/office/drawing/2015/06/chart">
              <c:ext xmlns:c15="http://schemas.microsoft.com/office/drawing/2012/chart" uri="{CE6537A1-D6FC-4f65-9D91-7224C49458BB}">
                <c15:layout/>
              </c:ext>
            </c:extLst>
          </c:dLbls>
          <c:cat>
            <c:strRef>
              <c:f>'Indicadores geográficos'!$G$6:$G$8</c:f>
              <c:strCache>
                <c:ptCount val="3"/>
                <c:pt idx="0">
                  <c:v>Municipal</c:v>
                </c:pt>
                <c:pt idx="1">
                  <c:v>Departamental</c:v>
                </c:pt>
                <c:pt idx="2">
                  <c:v>Nacional</c:v>
                </c:pt>
              </c:strCache>
            </c:strRef>
          </c:cat>
          <c:val>
            <c:numRef>
              <c:f>'Indicadores geográficos'!$H$6:$H$8</c:f>
              <c:numCache>
                <c:formatCode>0%</c:formatCode>
                <c:ptCount val="3"/>
                <c:pt idx="0">
                  <c:v>0.69000000000000095</c:v>
                </c:pt>
                <c:pt idx="1">
                  <c:v>0.25</c:v>
                </c:pt>
                <c:pt idx="2">
                  <c:v>6.0000000000000102E-2</c:v>
                </c:pt>
              </c:numCache>
            </c:numRef>
          </c:val>
          <c:extLst xmlns:c16r2="http://schemas.microsoft.com/office/drawing/2015/06/chart">
            <c:ext xmlns:c16="http://schemas.microsoft.com/office/drawing/2014/chart" uri="{C3380CC4-5D6E-409C-BE32-E72D297353CC}">
              <c16:uniqueId val="{00000006-EE2A-4F40-A1DA-3975AB27F0EB}"/>
            </c:ext>
          </c:extLst>
        </c:ser>
        <c:dLbls>
          <c:showPercent val="1"/>
        </c:dLbls>
        <c:firstSliceAng val="0"/>
      </c:pieChart>
    </c:plotArea>
    <c:legend>
      <c:legendPos val="r"/>
      <c:layout>
        <c:manualLayout>
          <c:xMode val="edge"/>
          <c:yMode val="edge"/>
          <c:x val="0.69458594397790363"/>
          <c:y val="0.33470890002386233"/>
          <c:w val="0.28641168072518258"/>
          <c:h val="0.32669977332379013"/>
        </c:manualLayout>
      </c:layout>
      <c:txPr>
        <a:bodyPr rot="0" vert="horz"/>
        <a:lstStyle/>
        <a:p>
          <a:pPr>
            <a:defRPr/>
          </a:pPr>
          <a:endParaRPr lang="es-CO"/>
        </a:p>
      </c:txPr>
    </c:legend>
    <c:plotVisOnly val="1"/>
    <c:dispBlanksAs val="zero"/>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CO"/>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s-CO" sz="1200" b="1" dirty="0" smtClean="0">
                <a:solidFill>
                  <a:schemeClr val="tx1"/>
                </a:solidFill>
              </a:rPr>
              <a:t>Gráfica</a:t>
            </a:r>
            <a:r>
              <a:rPr lang="es-CO" sz="1200" b="1" baseline="0" dirty="0" smtClean="0">
                <a:solidFill>
                  <a:schemeClr val="tx1"/>
                </a:solidFill>
              </a:rPr>
              <a:t> #9. </a:t>
            </a:r>
            <a:r>
              <a:rPr lang="es-CO" sz="1200" b="1" dirty="0" smtClean="0">
                <a:solidFill>
                  <a:schemeClr val="tx1"/>
                </a:solidFill>
              </a:rPr>
              <a:t>Porcentaje de hechos de corrupción reportados por la prensa según Derechos </a:t>
            </a:r>
            <a:r>
              <a:rPr lang="es-CO" sz="1200" b="1" dirty="0">
                <a:solidFill>
                  <a:schemeClr val="tx1"/>
                </a:solidFill>
              </a:rPr>
              <a:t>vulnerados </a:t>
            </a:r>
            <a:r>
              <a:rPr lang="es-CO" sz="1200" b="1" dirty="0" smtClean="0">
                <a:solidFill>
                  <a:schemeClr val="tx1"/>
                </a:solidFill>
              </a:rPr>
              <a:t>y</a:t>
            </a:r>
            <a:r>
              <a:rPr lang="es-CO" sz="1200" b="1" baseline="0" dirty="0" smtClean="0">
                <a:solidFill>
                  <a:schemeClr val="tx1"/>
                </a:solidFill>
              </a:rPr>
              <a:t> por región </a:t>
            </a:r>
            <a:endParaRPr lang="es-CO" sz="1200" b="1" dirty="0">
              <a:solidFill>
                <a:schemeClr val="tx1"/>
              </a:solidFill>
            </a:endParaRPr>
          </a:p>
        </c:rich>
      </c:tx>
      <c:spPr>
        <a:noFill/>
        <a:ln>
          <a:noFill/>
        </a:ln>
        <a:effectLst/>
      </c:spPr>
    </c:title>
    <c:plotArea>
      <c:layout/>
      <c:barChart>
        <c:barDir val="col"/>
        <c:grouping val="clustered"/>
        <c:ser>
          <c:idx val="0"/>
          <c:order val="0"/>
          <c:tx>
            <c:strRef>
              <c:f>'Indicadores hechos'!$N$222</c:f>
              <c:strCache>
                <c:ptCount val="1"/>
                <c:pt idx="0">
                  <c:v>Derechos colectivos y del medio ambiente</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mn-lt"/>
                    <a:ea typeface="+mn-ea"/>
                    <a:cs typeface="+mn-cs"/>
                  </a:defRPr>
                </a:pPr>
                <a:endParaRPr lang="es-CO"/>
              </a:p>
            </c:txPr>
            <c:dLblPos val="outEnd"/>
            <c:showVal val="1"/>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'Indicadores hechos'!$M$223:$M$225</c:f>
              <c:strCache>
                <c:ptCount val="3"/>
                <c:pt idx="0">
                  <c:v>Pacífica </c:v>
                </c:pt>
                <c:pt idx="1">
                  <c:v>Centro Oriente</c:v>
                </c:pt>
                <c:pt idx="2">
                  <c:v>Caribe</c:v>
                </c:pt>
              </c:strCache>
            </c:strRef>
          </c:cat>
          <c:val>
            <c:numRef>
              <c:f>'Indicadores hechos'!$N$223:$N$225</c:f>
              <c:numCache>
                <c:formatCode>0%</c:formatCode>
                <c:ptCount val="3"/>
                <c:pt idx="0">
                  <c:v>0</c:v>
                </c:pt>
                <c:pt idx="1">
                  <c:v>0.14285714285714377</c:v>
                </c:pt>
                <c:pt idx="2">
                  <c:v>0.28571428571428742</c:v>
                </c:pt>
              </c:numCache>
            </c:numRef>
          </c:val>
          <c:extLst xmlns:c16r2="http://schemas.microsoft.com/office/drawing/2015/06/chart">
            <c:ext xmlns:c16="http://schemas.microsoft.com/office/drawing/2014/chart" uri="{C3380CC4-5D6E-409C-BE32-E72D297353CC}">
              <c16:uniqueId val="{00000000-8896-45CE-BDD4-310F7E2E1648}"/>
            </c:ext>
          </c:extLst>
        </c:ser>
        <c:ser>
          <c:idx val="1"/>
          <c:order val="1"/>
          <c:tx>
            <c:strRef>
              <c:f>'Indicadores hechos'!$O$222</c:f>
              <c:strCache>
                <c:ptCount val="1"/>
                <c:pt idx="0">
                  <c:v>Derechos fundamentales, civiles y políticos</c:v>
                </c:pt>
              </c:strCache>
            </c:strRef>
          </c:tx>
          <c:spPr>
            <a:solidFill>
              <a:schemeClr val="accent3"/>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mn-lt"/>
                    <a:ea typeface="+mn-ea"/>
                    <a:cs typeface="+mn-cs"/>
                  </a:defRPr>
                </a:pPr>
                <a:endParaRPr lang="es-CO"/>
              </a:p>
            </c:txPr>
            <c:dLblPos val="outEnd"/>
            <c:showVal val="1"/>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'Indicadores hechos'!$M$223:$M$225</c:f>
              <c:strCache>
                <c:ptCount val="3"/>
                <c:pt idx="0">
                  <c:v>Pacífica </c:v>
                </c:pt>
                <c:pt idx="1">
                  <c:v>Centro Oriente</c:v>
                </c:pt>
                <c:pt idx="2">
                  <c:v>Caribe</c:v>
                </c:pt>
              </c:strCache>
            </c:strRef>
          </c:cat>
          <c:val>
            <c:numRef>
              <c:f>'Indicadores hechos'!$O$223:$O$225</c:f>
              <c:numCache>
                <c:formatCode>0%</c:formatCode>
                <c:ptCount val="3"/>
                <c:pt idx="0">
                  <c:v>0.12605042016806722</c:v>
                </c:pt>
                <c:pt idx="1">
                  <c:v>0.37815126050420284</c:v>
                </c:pt>
                <c:pt idx="2">
                  <c:v>0.26050420168067362</c:v>
                </c:pt>
              </c:numCache>
            </c:numRef>
          </c:val>
          <c:extLst xmlns:c16r2="http://schemas.microsoft.com/office/drawing/2015/06/chart">
            <c:ext xmlns:c16="http://schemas.microsoft.com/office/drawing/2014/chart" uri="{C3380CC4-5D6E-409C-BE32-E72D297353CC}">
              <c16:uniqueId val="{00000001-8896-45CE-BDD4-310F7E2E1648}"/>
            </c:ext>
          </c:extLst>
        </c:ser>
        <c:ser>
          <c:idx val="2"/>
          <c:order val="2"/>
          <c:tx>
            <c:strRef>
              <c:f>'Indicadores hechos'!$P$222</c:f>
              <c:strCache>
                <c:ptCount val="1"/>
                <c:pt idx="0">
                  <c:v>Derechos sociales, económicos y culturales</c:v>
                </c:pt>
              </c:strCache>
            </c:strRef>
          </c:tx>
          <c:spPr>
            <a:solidFill>
              <a:schemeClr val="accent5"/>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s-CO"/>
              </a:p>
            </c:txPr>
            <c:dLblPos val="outEnd"/>
            <c:showVal val="1"/>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'Indicadores hechos'!$M$223:$M$225</c:f>
              <c:strCache>
                <c:ptCount val="3"/>
                <c:pt idx="0">
                  <c:v>Pacífica </c:v>
                </c:pt>
                <c:pt idx="1">
                  <c:v>Centro Oriente</c:v>
                </c:pt>
                <c:pt idx="2">
                  <c:v>Caribe</c:v>
                </c:pt>
              </c:strCache>
            </c:strRef>
          </c:cat>
          <c:val>
            <c:numRef>
              <c:f>'Indicadores hechos'!$P$223:$P$225</c:f>
              <c:numCache>
                <c:formatCode>0%</c:formatCode>
                <c:ptCount val="3"/>
                <c:pt idx="0">
                  <c:v>0.13333333333333341</c:v>
                </c:pt>
                <c:pt idx="1">
                  <c:v>0.28333333333333333</c:v>
                </c:pt>
                <c:pt idx="2">
                  <c:v>0.40555555555555556</c:v>
                </c:pt>
              </c:numCache>
            </c:numRef>
          </c:val>
          <c:extLst xmlns:c16r2="http://schemas.microsoft.com/office/drawing/2015/06/chart">
            <c:ext xmlns:c16="http://schemas.microsoft.com/office/drawing/2014/chart" uri="{C3380CC4-5D6E-409C-BE32-E72D297353CC}">
              <c16:uniqueId val="{00000002-8896-45CE-BDD4-310F7E2E1648}"/>
            </c:ext>
          </c:extLst>
        </c:ser>
        <c:dLbls>
          <c:showVal val="1"/>
        </c:dLbls>
        <c:gapWidth val="219"/>
        <c:overlap val="-27"/>
        <c:axId val="186099200"/>
        <c:axId val="186100736"/>
      </c:barChart>
      <c:catAx>
        <c:axId val="186099200"/>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s-CO"/>
          </a:p>
        </c:txPr>
        <c:crossAx val="186100736"/>
        <c:crosses val="autoZero"/>
        <c:auto val="1"/>
        <c:lblAlgn val="ctr"/>
        <c:lblOffset val="100"/>
      </c:catAx>
      <c:valAx>
        <c:axId val="186100736"/>
        <c:scaling>
          <c:orientation val="minMax"/>
        </c:scaling>
        <c:delete val="1"/>
        <c:axPos val="l"/>
        <c:numFmt formatCode="0%" sourceLinked="1"/>
        <c:majorTickMark val="none"/>
        <c:tickLblPos val="none"/>
        <c:crossAx val="18609920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s-CO"/>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a:noFill/>
    </a:ln>
    <a:effectLst/>
  </c:spPr>
  <c:txPr>
    <a:bodyPr/>
    <a:lstStyle/>
    <a:p>
      <a:pPr>
        <a:defRPr/>
      </a:pPr>
      <a:endParaRPr lang="es-CO"/>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CO"/>
  <c:style val="5"/>
  <c:clrMapOvr bg1="lt1" tx1="dk1" bg2="lt2" tx2="dk2" accent1="accent1" accent2="accent2" accent3="accent3" accent4="accent4" accent5="accent5" accent6="accent6" hlink="hlink" folHlink="folHlink"/>
  <c:chart>
    <c:autoTitleDeleted val="1"/>
    <c:view3D>
      <c:rAngAx val="1"/>
    </c:view3D>
    <c:plotArea>
      <c:layout>
        <c:manualLayout>
          <c:layoutTarget val="inner"/>
          <c:xMode val="edge"/>
          <c:yMode val="edge"/>
          <c:x val="4.2727402304578332E-2"/>
          <c:y val="3.9487114113802596E-2"/>
          <c:w val="0.95727259769542172"/>
          <c:h val="0.54254305494588162"/>
        </c:manualLayout>
      </c:layout>
      <c:bar3DChart>
        <c:barDir val="col"/>
        <c:grouping val="stacked"/>
        <c:ser>
          <c:idx val="0"/>
          <c:order val="0"/>
          <c:cat>
            <c:strRef>
              <c:f>'Indicadores geográficos'!$D$15:$D$23</c:f>
              <c:strCache>
                <c:ptCount val="9"/>
                <c:pt idx="0">
                  <c:v>SANTANDER</c:v>
                </c:pt>
                <c:pt idx="1">
                  <c:v>ATLÁNTICO</c:v>
                </c:pt>
                <c:pt idx="2">
                  <c:v>VALLE</c:v>
                </c:pt>
                <c:pt idx="3">
                  <c:v>BOLÍVAR</c:v>
                </c:pt>
                <c:pt idx="4">
                  <c:v>ANTIOQUIA</c:v>
                </c:pt>
                <c:pt idx="5">
                  <c:v>BOGOTÁ, DISTRITO CAPITAL</c:v>
                </c:pt>
                <c:pt idx="6">
                  <c:v>CORDOBA</c:v>
                </c:pt>
                <c:pt idx="7">
                  <c:v>SUCRE</c:v>
                </c:pt>
                <c:pt idx="8">
                  <c:v>TOLIMA</c:v>
                </c:pt>
              </c:strCache>
            </c:strRef>
          </c:cat>
          <c:val>
            <c:numRef>
              <c:f>'Indicadores geográficos'!$E$15:$E$23</c:f>
            </c:numRef>
          </c:val>
        </c:ser>
        <c:ser>
          <c:idx val="1"/>
          <c:order val="1"/>
          <c:tx>
            <c:v>Porcentaje de Hechos</c:v>
          </c:tx>
          <c:dLbls>
            <c:txPr>
              <a:bodyPr/>
              <a:lstStyle/>
              <a:p>
                <a:pPr>
                  <a:defRPr sz="1200"/>
                </a:pPr>
                <a:endParaRPr lang="es-CO"/>
              </a:p>
            </c:txPr>
            <c:showVal val="1"/>
          </c:dLbls>
          <c:cat>
            <c:strRef>
              <c:f>'Indicadores geográficos'!$D$15:$D$23</c:f>
              <c:strCache>
                <c:ptCount val="9"/>
                <c:pt idx="0">
                  <c:v>SANTANDER</c:v>
                </c:pt>
                <c:pt idx="1">
                  <c:v>ATLÁNTICO</c:v>
                </c:pt>
                <c:pt idx="2">
                  <c:v>VALLE</c:v>
                </c:pt>
                <c:pt idx="3">
                  <c:v>BOLÍVAR</c:v>
                </c:pt>
                <c:pt idx="4">
                  <c:v>ANTIOQUIA</c:v>
                </c:pt>
                <c:pt idx="5">
                  <c:v>BOGOTÁ, DISTRITO CAPITAL</c:v>
                </c:pt>
                <c:pt idx="6">
                  <c:v>CORDOBA</c:v>
                </c:pt>
                <c:pt idx="7">
                  <c:v>SUCRE</c:v>
                </c:pt>
                <c:pt idx="8">
                  <c:v>TOLIMA</c:v>
                </c:pt>
              </c:strCache>
            </c:strRef>
          </c:cat>
          <c:val>
            <c:numRef>
              <c:f>'Indicadores geográficos'!$F$15:$F$23</c:f>
              <c:numCache>
                <c:formatCode>0%</c:formatCode>
                <c:ptCount val="9"/>
                <c:pt idx="0">
                  <c:v>0.14373088685015367</c:v>
                </c:pt>
                <c:pt idx="1">
                  <c:v>0.10091743119265995</c:v>
                </c:pt>
                <c:pt idx="2">
                  <c:v>7.9510703363914373E-2</c:v>
                </c:pt>
                <c:pt idx="3">
                  <c:v>7.3394495412844124E-2</c:v>
                </c:pt>
                <c:pt idx="4">
                  <c:v>6.1162079510703404E-2</c:v>
                </c:pt>
                <c:pt idx="5" formatCode="0.0%">
                  <c:v>5.8103975535168197E-2</c:v>
                </c:pt>
                <c:pt idx="6">
                  <c:v>4.5871559633027505E-2</c:v>
                </c:pt>
                <c:pt idx="7">
                  <c:v>4.5871559633027505E-2</c:v>
                </c:pt>
                <c:pt idx="8">
                  <c:v>3.0581039755351699E-2</c:v>
                </c:pt>
              </c:numCache>
            </c:numRef>
          </c:val>
        </c:ser>
        <c:dLbls>
          <c:showVal val="1"/>
        </c:dLbls>
        <c:gapWidth val="75"/>
        <c:shape val="box"/>
        <c:axId val="183016064"/>
        <c:axId val="186081664"/>
        <c:axId val="0"/>
      </c:bar3DChart>
      <c:catAx>
        <c:axId val="183016064"/>
        <c:scaling>
          <c:orientation val="minMax"/>
        </c:scaling>
        <c:axPos val="b"/>
        <c:majorTickMark val="none"/>
        <c:tickLblPos val="nextTo"/>
        <c:txPr>
          <a:bodyPr/>
          <a:lstStyle/>
          <a:p>
            <a:pPr>
              <a:defRPr sz="900"/>
            </a:pPr>
            <a:endParaRPr lang="es-CO"/>
          </a:p>
        </c:txPr>
        <c:crossAx val="186081664"/>
        <c:crosses val="autoZero"/>
        <c:auto val="1"/>
        <c:lblAlgn val="ctr"/>
        <c:lblOffset val="100"/>
      </c:catAx>
      <c:valAx>
        <c:axId val="186081664"/>
        <c:scaling>
          <c:orientation val="minMax"/>
        </c:scaling>
        <c:delete val="1"/>
        <c:axPos val="l"/>
        <c:numFmt formatCode="0%" sourceLinked="1"/>
        <c:majorTickMark val="none"/>
        <c:tickLblPos val="none"/>
        <c:crossAx val="183016064"/>
        <c:crosses val="autoZero"/>
        <c:crossBetween val="between"/>
      </c:valAx>
    </c:plotArea>
    <c:legend>
      <c:legendPos val="b"/>
      <c:layout>
        <c:manualLayout>
          <c:xMode val="edge"/>
          <c:yMode val="edge"/>
          <c:x val="0.58414897730451765"/>
          <c:y val="0.82453784067495051"/>
          <c:w val="0.27180902790106881"/>
          <c:h val="0.1102247704443028"/>
        </c:manualLayout>
      </c:layout>
    </c:legend>
    <c:plotVisOnly val="1"/>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CO"/>
  <c:clrMapOvr bg1="lt1" tx1="dk1" bg2="lt2" tx2="dk2" accent1="accent1" accent2="accent2" accent3="accent3" accent4="accent4" accent5="accent5" accent6="accent6" hlink="hlink" folHlink="folHlink"/>
  <c:chart>
    <c:title>
      <c:tx>
        <c:rich>
          <a:bodyPr/>
          <a:lstStyle/>
          <a:p>
            <a:pPr>
              <a:defRPr/>
            </a:pPr>
            <a:endParaRPr lang="es-CO"/>
          </a:p>
        </c:rich>
      </c:tx>
    </c:title>
    <c:view3D>
      <c:rotX val="30"/>
      <c:perspective val="30"/>
    </c:view3D>
    <c:plotArea>
      <c:layout/>
      <c:pie3DChart>
        <c:varyColors val="1"/>
        <c:ser>
          <c:idx val="0"/>
          <c:order val="0"/>
          <c:dLbls>
            <c:txPr>
              <a:bodyPr/>
              <a:lstStyle/>
              <a:p>
                <a:pPr>
                  <a:defRPr sz="1200" b="1"/>
                </a:pPr>
                <a:endParaRPr lang="es-CO"/>
              </a:p>
            </c:txPr>
            <c:showPercent val="1"/>
            <c:showLeaderLines val="1"/>
          </c:dLbls>
          <c:cat>
            <c:strRef>
              <c:f>'Indicadores hechos'!$E$145:$E$150</c:f>
              <c:strCache>
                <c:ptCount val="6"/>
                <c:pt idx="0">
                  <c:v>Corrupción Administrativa</c:v>
                </c:pt>
                <c:pt idx="1">
                  <c:v>Corrupción Privada</c:v>
                </c:pt>
                <c:pt idx="2">
                  <c:v>Corrupción judicial</c:v>
                </c:pt>
                <c:pt idx="3">
                  <c:v>Corrupción Política</c:v>
                </c:pt>
                <c:pt idx="4">
                  <c:v>Captura del Estado</c:v>
                </c:pt>
                <c:pt idx="5">
                  <c:v>Otros</c:v>
                </c:pt>
              </c:strCache>
            </c:strRef>
          </c:cat>
          <c:val>
            <c:numRef>
              <c:f>'Indicadores hechos'!$F$145:$F$150</c:f>
              <c:numCache>
                <c:formatCode>0%</c:formatCode>
                <c:ptCount val="6"/>
                <c:pt idx="0">
                  <c:v>0.73088685015290522</c:v>
                </c:pt>
                <c:pt idx="1">
                  <c:v>9.1743119266055009E-2</c:v>
                </c:pt>
                <c:pt idx="2">
                  <c:v>6.7278287461773695E-2</c:v>
                </c:pt>
                <c:pt idx="3">
                  <c:v>6.4220183486238536E-2</c:v>
                </c:pt>
                <c:pt idx="4">
                  <c:v>2.1406727828746242E-2</c:v>
                </c:pt>
                <c:pt idx="5">
                  <c:v>2.1406727828746242E-2</c:v>
                </c:pt>
              </c:numCache>
            </c:numRef>
          </c:val>
        </c:ser>
        <c:dLbls>
          <c:showPercent val="1"/>
        </c:dLbls>
      </c:pie3DChart>
    </c:plotArea>
    <c:legend>
      <c:legendPos val="r"/>
      <c:legendEntry>
        <c:idx val="0"/>
        <c:txPr>
          <a:bodyPr/>
          <a:lstStyle/>
          <a:p>
            <a:pPr>
              <a:defRPr sz="1050">
                <a:latin typeface="+mn-lt"/>
              </a:defRPr>
            </a:pPr>
            <a:endParaRPr lang="es-CO"/>
          </a:p>
        </c:txPr>
      </c:legendEntry>
      <c:legendEntry>
        <c:idx val="1"/>
        <c:txPr>
          <a:bodyPr/>
          <a:lstStyle/>
          <a:p>
            <a:pPr>
              <a:defRPr sz="1050">
                <a:latin typeface="+mn-lt"/>
              </a:defRPr>
            </a:pPr>
            <a:endParaRPr lang="es-CO"/>
          </a:p>
        </c:txPr>
      </c:legendEntry>
      <c:legendEntry>
        <c:idx val="2"/>
        <c:txPr>
          <a:bodyPr/>
          <a:lstStyle/>
          <a:p>
            <a:pPr>
              <a:defRPr sz="1050">
                <a:latin typeface="+mn-lt"/>
              </a:defRPr>
            </a:pPr>
            <a:endParaRPr lang="es-CO"/>
          </a:p>
        </c:txPr>
      </c:legendEntry>
      <c:legendEntry>
        <c:idx val="3"/>
        <c:txPr>
          <a:bodyPr/>
          <a:lstStyle/>
          <a:p>
            <a:pPr>
              <a:defRPr sz="1050">
                <a:latin typeface="+mn-lt"/>
              </a:defRPr>
            </a:pPr>
            <a:endParaRPr lang="es-CO"/>
          </a:p>
        </c:txPr>
      </c:legendEntry>
      <c:legendEntry>
        <c:idx val="4"/>
        <c:txPr>
          <a:bodyPr/>
          <a:lstStyle/>
          <a:p>
            <a:pPr>
              <a:defRPr sz="1050">
                <a:latin typeface="+mn-lt"/>
              </a:defRPr>
            </a:pPr>
            <a:endParaRPr lang="es-CO"/>
          </a:p>
        </c:txPr>
      </c:legendEntry>
      <c:legendEntry>
        <c:idx val="5"/>
        <c:txPr>
          <a:bodyPr/>
          <a:lstStyle/>
          <a:p>
            <a:pPr>
              <a:defRPr sz="1050">
                <a:latin typeface="+mn-lt"/>
              </a:defRPr>
            </a:pPr>
            <a:endParaRPr lang="es-CO"/>
          </a:p>
        </c:txPr>
      </c:legendEntry>
      <c:layout>
        <c:manualLayout>
          <c:xMode val="edge"/>
          <c:yMode val="edge"/>
          <c:x val="0.66914792831099479"/>
          <c:y val="0.31106583597682935"/>
          <c:w val="0.31768334854706831"/>
          <c:h val="0.47069674041302972"/>
        </c:manualLayout>
      </c:layout>
      <c:txPr>
        <a:bodyPr/>
        <a:lstStyle/>
        <a:p>
          <a:pPr>
            <a:defRPr sz="1100">
              <a:latin typeface="+mn-lt"/>
            </a:defRPr>
          </a:pPr>
          <a:endParaRPr lang="es-CO"/>
        </a:p>
      </c:txPr>
    </c:legend>
    <c:plotVisOnly val="1"/>
  </c:chart>
  <c:txPr>
    <a:bodyPr/>
    <a:lstStyle/>
    <a:p>
      <a:pPr>
        <a:defRPr sz="1800"/>
      </a:pPr>
      <a:endParaRPr lang="es-CO"/>
    </a:p>
  </c:txPr>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CO"/>
  <c:chart>
    <c:title>
      <c:tx>
        <c:rich>
          <a:bodyPr/>
          <a:lstStyle/>
          <a:p>
            <a:pPr>
              <a:defRPr sz="1200"/>
            </a:pPr>
            <a:r>
              <a:rPr lang="en-US" sz="1200"/>
              <a:t>Gráfica #4Porcentaje de hechos por tipo de irregularidades asocidadas</a:t>
            </a:r>
            <a:r>
              <a:rPr lang="en-US" sz="1200" baseline="0"/>
              <a:t> a contratación pública </a:t>
            </a:r>
            <a:r>
              <a:rPr lang="en-US" sz="1200"/>
              <a:t> </a:t>
            </a:r>
          </a:p>
        </c:rich>
      </c:tx>
    </c:title>
    <c:plotArea>
      <c:layout/>
      <c:barChart>
        <c:barDir val="bar"/>
        <c:grouping val="stacked"/>
        <c:ser>
          <c:idx val="0"/>
          <c:order val="0"/>
          <c:tx>
            <c:v>Porcentaje de hechos </c:v>
          </c:tx>
          <c:dLbls>
            <c:txPr>
              <a:bodyPr/>
              <a:lstStyle/>
              <a:p>
                <a:pPr>
                  <a:defRPr sz="1200"/>
                </a:pPr>
                <a:endParaRPr lang="es-CO"/>
              </a:p>
            </c:txPr>
            <c:showVal val="1"/>
          </c:dLbls>
          <c:cat>
            <c:strRef>
              <c:f>'Indicadores hechos'!$Q$73:$Q$77</c:f>
              <c:strCache>
                <c:ptCount val="5"/>
                <c:pt idx="0">
                  <c:v>Manejos administrativos arbitrarios o fraudulentos. </c:v>
                </c:pt>
                <c:pt idx="1">
                  <c:v>Obstáculos para garantizar la libre competencia o cartelización </c:v>
                </c:pt>
                <c:pt idx="2">
                  <c:v>Sobrecostos incurridos del privado por irregularidades en celebración de contratos </c:v>
                </c:pt>
                <c:pt idx="3">
                  <c:v>Lavado de activos, evasión de impuestos y contrabando </c:v>
                </c:pt>
                <c:pt idx="4">
                  <c:v>Incumplimiento de acuerdos </c:v>
                </c:pt>
              </c:strCache>
            </c:strRef>
          </c:cat>
          <c:val>
            <c:numRef>
              <c:f>'Indicadores hechos'!$R$73:$R$77</c:f>
              <c:numCache>
                <c:formatCode>0%</c:formatCode>
                <c:ptCount val="5"/>
                <c:pt idx="0">
                  <c:v>0.2</c:v>
                </c:pt>
                <c:pt idx="1">
                  <c:v>0.13</c:v>
                </c:pt>
                <c:pt idx="2">
                  <c:v>0.1</c:v>
                </c:pt>
                <c:pt idx="3">
                  <c:v>6.0000000000000032E-2</c:v>
                </c:pt>
                <c:pt idx="4">
                  <c:v>6.0000000000000032E-2</c:v>
                </c:pt>
              </c:numCache>
            </c:numRef>
          </c:val>
        </c:ser>
        <c:dLbls>
          <c:showVal val="1"/>
        </c:dLbls>
        <c:gapWidth val="75"/>
        <c:overlap val="100"/>
        <c:axId val="182570368"/>
        <c:axId val="182867072"/>
      </c:barChart>
      <c:catAx>
        <c:axId val="182570368"/>
        <c:scaling>
          <c:orientation val="minMax"/>
        </c:scaling>
        <c:axPos val="l"/>
        <c:majorTickMark val="none"/>
        <c:tickLblPos val="nextTo"/>
        <c:txPr>
          <a:bodyPr/>
          <a:lstStyle/>
          <a:p>
            <a:pPr>
              <a:defRPr sz="1000"/>
            </a:pPr>
            <a:endParaRPr lang="es-CO"/>
          </a:p>
        </c:txPr>
        <c:crossAx val="182867072"/>
        <c:crosses val="autoZero"/>
        <c:auto val="1"/>
        <c:lblAlgn val="l"/>
        <c:lblOffset val="100"/>
      </c:catAx>
      <c:valAx>
        <c:axId val="182867072"/>
        <c:scaling>
          <c:orientation val="minMax"/>
        </c:scaling>
        <c:delete val="1"/>
        <c:axPos val="b"/>
        <c:numFmt formatCode="0%" sourceLinked="1"/>
        <c:majorTickMark val="none"/>
        <c:tickLblPos val="none"/>
        <c:crossAx val="182570368"/>
        <c:crosses val="autoZero"/>
        <c:crossBetween val="between"/>
      </c:valAx>
    </c:plotArea>
    <c:legend>
      <c:legendPos val="b"/>
      <c:txPr>
        <a:bodyPr/>
        <a:lstStyle/>
        <a:p>
          <a:pPr>
            <a:defRPr sz="1100"/>
          </a:pPr>
          <a:endParaRPr lang="es-CO"/>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CO"/>
  <c:style val="5"/>
  <c:chart>
    <c:autoTitleDeleted val="1"/>
    <c:view3D>
      <c:rAngAx val="1"/>
    </c:view3D>
    <c:plotArea>
      <c:layout/>
      <c:bar3DChart>
        <c:barDir val="col"/>
        <c:grouping val="stacked"/>
        <c:ser>
          <c:idx val="0"/>
          <c:order val="0"/>
          <c:tx>
            <c:v>Porcentaje de hechos </c:v>
          </c:tx>
          <c:dLbls>
            <c:txPr>
              <a:bodyPr/>
              <a:lstStyle/>
              <a:p>
                <a:pPr>
                  <a:defRPr sz="1200"/>
                </a:pPr>
                <a:endParaRPr lang="es-CO"/>
              </a:p>
            </c:txPr>
            <c:showVal val="1"/>
          </c:dLbls>
          <c:cat>
            <c:strRef>
              <c:f>'Indicadores hechos'!$S$94:$S$98</c:f>
              <c:strCache>
                <c:ptCount val="5"/>
                <c:pt idx="0">
                  <c:v>Nóminas paralelas con fines políticos </c:v>
                </c:pt>
                <c:pt idx="1">
                  <c:v>Financiación de campañas con fuentes prohibidas </c:v>
                </c:pt>
                <c:pt idx="2">
                  <c:v>Presiones a funcionarios públicos y/o contratistas para votar a favor de candidatos </c:v>
                </c:pt>
                <c:pt idx="3">
                  <c:v>Obstrucción de procesos de revocatoria del mandato </c:v>
                </c:pt>
                <c:pt idx="4">
                  <c:v>Inscripción de candidatos inhabilitados para ocupar cargos públicos </c:v>
                </c:pt>
              </c:strCache>
            </c:strRef>
          </c:cat>
          <c:val>
            <c:numRef>
              <c:f>'Indicadores hechos'!$T$94:$T$98</c:f>
              <c:numCache>
                <c:formatCode>0%</c:formatCode>
                <c:ptCount val="5"/>
                <c:pt idx="0">
                  <c:v>0.25</c:v>
                </c:pt>
                <c:pt idx="1">
                  <c:v>0.19</c:v>
                </c:pt>
                <c:pt idx="2">
                  <c:v>9.0000000000000024E-2</c:v>
                </c:pt>
                <c:pt idx="3">
                  <c:v>9.0000000000000024E-2</c:v>
                </c:pt>
                <c:pt idx="4">
                  <c:v>9.0000000000000024E-2</c:v>
                </c:pt>
              </c:numCache>
            </c:numRef>
          </c:val>
        </c:ser>
        <c:dLbls>
          <c:showVal val="1"/>
        </c:dLbls>
        <c:gapWidth val="75"/>
        <c:shape val="box"/>
        <c:axId val="182887936"/>
        <c:axId val="182889472"/>
        <c:axId val="0"/>
      </c:bar3DChart>
      <c:catAx>
        <c:axId val="182887936"/>
        <c:scaling>
          <c:orientation val="minMax"/>
        </c:scaling>
        <c:axPos val="b"/>
        <c:majorTickMark val="none"/>
        <c:tickLblPos val="nextTo"/>
        <c:txPr>
          <a:bodyPr/>
          <a:lstStyle/>
          <a:p>
            <a:pPr>
              <a:defRPr sz="900"/>
            </a:pPr>
            <a:endParaRPr lang="es-CO"/>
          </a:p>
        </c:txPr>
        <c:crossAx val="182889472"/>
        <c:crosses val="autoZero"/>
        <c:auto val="1"/>
        <c:lblAlgn val="ctr"/>
        <c:lblOffset val="100"/>
      </c:catAx>
      <c:valAx>
        <c:axId val="182889472"/>
        <c:scaling>
          <c:orientation val="minMax"/>
        </c:scaling>
        <c:delete val="1"/>
        <c:axPos val="l"/>
        <c:numFmt formatCode="0%" sourceLinked="1"/>
        <c:majorTickMark val="none"/>
        <c:tickLblPos val="none"/>
        <c:crossAx val="182887936"/>
        <c:crosses val="autoZero"/>
        <c:crossBetween val="between"/>
      </c:valAx>
    </c:plotArea>
    <c:legend>
      <c:legendPos val="b"/>
      <c:txPr>
        <a:bodyPr/>
        <a:lstStyle/>
        <a:p>
          <a:pPr>
            <a:defRPr sz="1100"/>
          </a:pPr>
          <a:endParaRPr lang="es-CO"/>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CO"/>
  <c:chart>
    <c:view3D>
      <c:rAngAx val="1"/>
    </c:view3D>
    <c:plotArea>
      <c:layout/>
      <c:bar3DChart>
        <c:barDir val="col"/>
        <c:grouping val="clustered"/>
        <c:ser>
          <c:idx val="0"/>
          <c:order val="0"/>
          <c:dLbls>
            <c:dLbl>
              <c:idx val="0"/>
              <c:layout>
                <c:manualLayout>
                  <c:x val="1.3412434989006032E-17"/>
                  <c:y val="-1.7438691100363092E-2"/>
                </c:manualLayout>
              </c:layout>
              <c:showVal val="1"/>
            </c:dLbl>
            <c:dLbl>
              <c:idx val="1"/>
              <c:layout>
                <c:manualLayout>
                  <c:x val="1.4631916287926618E-3"/>
                  <c:y val="-3.1970933683999149E-2"/>
                </c:manualLayout>
              </c:layout>
              <c:showVal val="1"/>
            </c:dLbl>
            <c:dLbl>
              <c:idx val="2"/>
              <c:layout>
                <c:manualLayout>
                  <c:x val="0"/>
                  <c:y val="-3.1970933683999121E-2"/>
                </c:manualLayout>
              </c:layout>
              <c:showVal val="1"/>
            </c:dLbl>
            <c:dLbl>
              <c:idx val="3"/>
              <c:layout>
                <c:manualLayout>
                  <c:x val="4.3895748863779765E-3"/>
                  <c:y val="-4.35967277509079E-2"/>
                </c:manualLayout>
              </c:layout>
              <c:showVal val="1"/>
            </c:dLbl>
            <c:dLbl>
              <c:idx val="4"/>
              <c:layout>
                <c:manualLayout>
                  <c:x val="-1.4631916287926618E-3"/>
                  <c:y val="-4.35967277509079E-2"/>
                </c:manualLayout>
              </c:layout>
              <c:showVal val="1"/>
            </c:dLbl>
            <c:dLbl>
              <c:idx val="5"/>
              <c:layout>
                <c:manualLayout>
                  <c:x val="-8.7791497727559946E-3"/>
                  <c:y val="-7.5567661434907021E-2"/>
                </c:manualLayout>
              </c:layout>
              <c:showVal val="1"/>
            </c:dLbl>
            <c:dLbl>
              <c:idx val="6"/>
              <c:layout>
                <c:manualLayout>
                  <c:x val="-4.3895748863779765E-3"/>
                  <c:y val="-4.6503176267634866E-2"/>
                </c:manualLayout>
              </c:layout>
              <c:showVal val="1"/>
            </c:dLbl>
            <c:dLbl>
              <c:idx val="7"/>
              <c:layout>
                <c:manualLayout>
                  <c:x val="-1.4631916287926618E-3"/>
                  <c:y val="-4.6503176267634866E-2"/>
                </c:manualLayout>
              </c:layout>
              <c:showVal val="1"/>
            </c:dLbl>
            <c:dLbl>
              <c:idx val="8"/>
              <c:layout>
                <c:manualLayout>
                  <c:x val="0"/>
                  <c:y val="-4.35967277509079E-2"/>
                </c:manualLayout>
              </c:layout>
              <c:showVal val="1"/>
            </c:dLbl>
            <c:dLbl>
              <c:idx val="9"/>
              <c:layout>
                <c:manualLayout>
                  <c:x val="-2.9263832575853383E-3"/>
                  <c:y val="-5.231607330108945E-2"/>
                </c:manualLayout>
              </c:layout>
              <c:showVal val="1"/>
            </c:dLbl>
            <c:txPr>
              <a:bodyPr/>
              <a:lstStyle/>
              <a:p>
                <a:pPr>
                  <a:defRPr sz="1200" b="1"/>
                </a:pPr>
                <a:endParaRPr lang="es-CO"/>
              </a:p>
            </c:txPr>
            <c:showVal val="1"/>
          </c:dLbls>
          <c:cat>
            <c:strRef>
              <c:f>'Indicadores hechos'!$G$4:$G$13</c:f>
              <c:strCache>
                <c:ptCount val="10"/>
                <c:pt idx="0">
                  <c:v>Educación</c:v>
                </c:pt>
                <c:pt idx="1">
                  <c:v>Infraestructura y Transporte </c:v>
                </c:pt>
                <c:pt idx="2">
                  <c:v>Salud</c:v>
                </c:pt>
                <c:pt idx="3">
                  <c:v>Función Pública</c:v>
                </c:pt>
                <c:pt idx="4">
                  <c:v>Servicios Públicos, Vivienda </c:v>
                </c:pt>
                <c:pt idx="5">
                  <c:v>Justicia</c:v>
                </c:pt>
                <c:pt idx="6">
                  <c:v>Deporte y Cultura </c:v>
                </c:pt>
                <c:pt idx="7">
                  <c:v>Electoral</c:v>
                </c:pt>
                <c:pt idx="8">
                  <c:v>Seguridad y Defensa </c:v>
                </c:pt>
                <c:pt idx="9">
                  <c:v>Hacienda y Crédito Público</c:v>
                </c:pt>
              </c:strCache>
            </c:strRef>
          </c:cat>
          <c:val>
            <c:numRef>
              <c:f>'Indicadores hechos'!$H$4:$H$13</c:f>
              <c:numCache>
                <c:formatCode>0%</c:formatCode>
                <c:ptCount val="10"/>
                <c:pt idx="0">
                  <c:v>0.16207951070336388</c:v>
                </c:pt>
                <c:pt idx="1">
                  <c:v>0.14678899082568833</c:v>
                </c:pt>
                <c:pt idx="2">
                  <c:v>0.13455657492354692</c:v>
                </c:pt>
                <c:pt idx="3">
                  <c:v>0.11620795107033639</c:v>
                </c:pt>
                <c:pt idx="4">
                  <c:v>0.11314984709480104</c:v>
                </c:pt>
                <c:pt idx="5">
                  <c:v>6.1162079510703404E-2</c:v>
                </c:pt>
                <c:pt idx="6">
                  <c:v>5.5045871559633031E-2</c:v>
                </c:pt>
                <c:pt idx="7">
                  <c:v>4.5871559633027505E-2</c:v>
                </c:pt>
                <c:pt idx="8">
                  <c:v>3.6697247706422138E-2</c:v>
                </c:pt>
                <c:pt idx="9">
                  <c:v>3.3639143730886847E-2</c:v>
                </c:pt>
              </c:numCache>
            </c:numRef>
          </c:val>
        </c:ser>
        <c:dLbls>
          <c:showVal val="1"/>
        </c:dLbls>
        <c:gapWidth val="75"/>
        <c:shape val="cylinder"/>
        <c:axId val="182930432"/>
        <c:axId val="182952704"/>
        <c:axId val="0"/>
      </c:bar3DChart>
      <c:catAx>
        <c:axId val="182930432"/>
        <c:scaling>
          <c:orientation val="minMax"/>
        </c:scaling>
        <c:axPos val="b"/>
        <c:majorTickMark val="none"/>
        <c:tickLblPos val="nextTo"/>
        <c:crossAx val="182952704"/>
        <c:crosses val="autoZero"/>
        <c:auto val="1"/>
        <c:lblAlgn val="ctr"/>
        <c:lblOffset val="100"/>
      </c:catAx>
      <c:valAx>
        <c:axId val="182952704"/>
        <c:scaling>
          <c:orientation val="minMax"/>
        </c:scaling>
        <c:delete val="1"/>
        <c:axPos val="l"/>
        <c:numFmt formatCode="0%" sourceLinked="1"/>
        <c:majorTickMark val="none"/>
        <c:tickLblPos val="none"/>
        <c:crossAx val="182930432"/>
        <c:crosses val="autoZero"/>
        <c:crossBetween val="between"/>
      </c:valAx>
    </c:plotArea>
    <c:legend>
      <c:legendPos val="b"/>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CO"/>
  <c:chart>
    <c:autoTitleDeleted val="1"/>
    <c:plotArea>
      <c:layout>
        <c:manualLayout>
          <c:layoutTarget val="inner"/>
          <c:xMode val="edge"/>
          <c:yMode val="edge"/>
          <c:x val="0.43582391486778527"/>
          <c:y val="3.7151702786377819E-2"/>
          <c:w val="0.53923277447461926"/>
          <c:h val="0.90918472652218785"/>
        </c:manualLayout>
      </c:layout>
      <c:barChart>
        <c:barDir val="bar"/>
        <c:grouping val="clustered"/>
        <c:ser>
          <c:idx val="0"/>
          <c:order val="0"/>
          <c:tx>
            <c:strRef>
              <c:f>'Indicadores hechos'!$F$244</c:f>
              <c:strCache>
                <c:ptCount val="1"/>
                <c:pt idx="0">
                  <c:v>Porcentaje</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mn-lt"/>
                    <a:ea typeface="+mn-ea"/>
                    <a:cs typeface="+mn-cs"/>
                  </a:defRPr>
                </a:pPr>
                <a:endParaRPr lang="es-CO"/>
              </a:p>
            </c:txPr>
            <c:dLblPos val="outEnd"/>
            <c:showVal val="1"/>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'Indicadores hechos'!$D$245:$D$250</c:f>
              <c:strCache>
                <c:ptCount val="6"/>
                <c:pt idx="0">
                  <c:v>De 501 a 1000 millones de pesos</c:v>
                </c:pt>
                <c:pt idx="1">
                  <c:v>De 101 a 500 millones de pesos</c:v>
                </c:pt>
                <c:pt idx="2">
                  <c:v>De 5001 a 10.000 millones de pesos</c:v>
                </c:pt>
                <c:pt idx="3">
                  <c:v>De 0 a 100 millones de pesos</c:v>
                </c:pt>
                <c:pt idx="4">
                  <c:v>De 1001 a 5000 millones de pesos</c:v>
                </c:pt>
                <c:pt idx="5">
                  <c:v>Más de 10.000 millones de pesos</c:v>
                </c:pt>
              </c:strCache>
            </c:strRef>
          </c:cat>
          <c:val>
            <c:numRef>
              <c:f>'Indicadores hechos'!$F$245:$F$250</c:f>
              <c:numCache>
                <c:formatCode>0%</c:formatCode>
                <c:ptCount val="6"/>
                <c:pt idx="0">
                  <c:v>6.4102564102564111E-2</c:v>
                </c:pt>
                <c:pt idx="1">
                  <c:v>9.4017094017094044E-2</c:v>
                </c:pt>
                <c:pt idx="2">
                  <c:v>0.12393162393162449</c:v>
                </c:pt>
                <c:pt idx="3">
                  <c:v>0.15811965811965811</c:v>
                </c:pt>
                <c:pt idx="4">
                  <c:v>0.26495726495726613</c:v>
                </c:pt>
                <c:pt idx="5">
                  <c:v>0.29487179487179488</c:v>
                </c:pt>
              </c:numCache>
            </c:numRef>
          </c:val>
          <c:extLst xmlns:c16r2="http://schemas.microsoft.com/office/drawing/2015/06/chart">
            <c:ext xmlns:c16="http://schemas.microsoft.com/office/drawing/2014/chart" uri="{C3380CC4-5D6E-409C-BE32-E72D297353CC}">
              <c16:uniqueId val="{00000000-8288-454C-9C59-C91A5A07CB1F}"/>
            </c:ext>
          </c:extLst>
        </c:ser>
        <c:dLbls>
          <c:showVal val="1"/>
        </c:dLbls>
        <c:gapWidth val="219"/>
        <c:axId val="182989568"/>
        <c:axId val="182991104"/>
      </c:barChart>
      <c:catAx>
        <c:axId val="182989568"/>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s-CO"/>
          </a:p>
        </c:txPr>
        <c:crossAx val="182991104"/>
        <c:crosses val="autoZero"/>
        <c:auto val="1"/>
        <c:lblAlgn val="ctr"/>
        <c:lblOffset val="100"/>
      </c:catAx>
      <c:valAx>
        <c:axId val="182991104"/>
        <c:scaling>
          <c:orientation val="minMax"/>
        </c:scaling>
        <c:delete val="1"/>
        <c:axPos val="b"/>
        <c:numFmt formatCode="0%" sourceLinked="1"/>
        <c:majorTickMark val="none"/>
        <c:tickLblPos val="none"/>
        <c:crossAx val="182989568"/>
        <c:crosses val="autoZero"/>
        <c:crossBetween val="between"/>
      </c:valAx>
      <c:spPr>
        <a:noFill/>
        <a:ln>
          <a:noFill/>
        </a:ln>
        <a:effectLst/>
      </c:spPr>
    </c:plotArea>
    <c:plotVisOnly val="1"/>
    <c:dispBlanksAs val="gap"/>
  </c:chart>
  <c:spPr>
    <a:noFill/>
    <a:ln>
      <a:noFill/>
    </a:ln>
    <a:effectLst/>
  </c:spPr>
  <c:txPr>
    <a:bodyPr/>
    <a:lstStyle/>
    <a:p>
      <a:pPr>
        <a:defRPr/>
      </a:pPr>
      <a:endParaRPr lang="es-CO"/>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CO"/>
  <c:chart>
    <c:autoTitleDeleted val="1"/>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dPt>
            <c:idx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1-EC78-45DC-873B-B33EDEC055E2}"/>
              </c:ext>
            </c:extLst>
          </c:dPt>
          <c:dPt>
            <c:idx val="1"/>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3-EC78-45DC-873B-B33EDEC055E2}"/>
              </c:ext>
            </c:extLst>
          </c:dPt>
          <c:dPt>
            <c:idx val="2"/>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5-EC78-45DC-873B-B33EDEC055E2}"/>
              </c:ext>
            </c:extLst>
          </c:dPt>
          <c:dPt>
            <c:idx val="3"/>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7-EC78-45DC-873B-B33EDEC055E2}"/>
              </c:ext>
            </c:extLst>
          </c:dPt>
          <c:dPt>
            <c:idx val="4"/>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9-EC78-45DC-873B-B33EDEC055E2}"/>
              </c:ext>
            </c:extLst>
          </c:dPt>
          <c:dLbls>
            <c:dLbl>
              <c:idx val="0"/>
              <c:tx>
                <c:rich>
                  <a:bodyPr/>
                  <a:lstStyle/>
                  <a:p>
                    <a:r>
                      <a:rPr lang="en-US"/>
                      <a:t>Alcalde  39%</a:t>
                    </a:r>
                  </a:p>
                </c:rich>
              </c:tx>
              <c:dLblPos val="outEnd"/>
              <c:showCatName val="1"/>
              <c:showPercent val="1"/>
              <c:extLst>
                <c:ext xmlns:c15="http://schemas.microsoft.com/office/drawing/2012/chart" uri="{CE6537A1-D6FC-4f65-9D91-7224C49458BB}"/>
              </c:extLst>
            </c:dLbl>
            <c:dLbl>
              <c:idx val="1"/>
              <c:tx>
                <c:rich>
                  <a:bodyPr/>
                  <a:lstStyle/>
                  <a:p>
                    <a:r>
                      <a:rPr lang="en-US"/>
                      <a:t>Concejal 
40%</a:t>
                    </a:r>
                  </a:p>
                </c:rich>
              </c:tx>
              <c:dLblPos val="outEnd"/>
              <c:showCatName val="1"/>
              <c:showPercent val="1"/>
              <c:extLst>
                <c:ext xmlns:c15="http://schemas.microsoft.com/office/drawing/2012/chart" uri="{CE6537A1-D6FC-4f65-9D91-7224C49458BB}"/>
              </c:extLst>
            </c:dLbl>
            <c:dLbl>
              <c:idx val="2"/>
              <c:layout>
                <c:manualLayout>
                  <c:x val="-4.9066713550758617E-2"/>
                  <c:y val="8.1201652119066547E-2"/>
                </c:manualLayout>
              </c:layout>
              <c:tx>
                <c:rich>
                  <a:bodyPr/>
                  <a:lstStyle/>
                  <a:p>
                    <a:r>
                      <a:rPr lang="en-US"/>
                      <a:t>Gobernador
10%</a:t>
                    </a:r>
                  </a:p>
                </c:rich>
              </c:tx>
              <c:dLblPos val="bestFit"/>
              <c:showCatName val="1"/>
              <c:showPercent val="1"/>
              <c:extLst xmlns:c16r2="http://schemas.microsoft.com/office/drawing/2015/06/chart">
                <c:ext xmlns:c16="http://schemas.microsoft.com/office/drawing/2014/chart" uri="{C3380CC4-5D6E-409C-BE32-E72D297353CC}">
                  <c16:uniqueId val="{00000005-EC78-45DC-873B-B33EDEC055E2}"/>
                </c:ext>
                <c:ext xmlns:c15="http://schemas.microsoft.com/office/drawing/2012/chart" uri="{CE6537A1-D6FC-4f65-9D91-7224C49458BB}"/>
              </c:extLst>
            </c:dLbl>
            <c:dLbl>
              <c:idx val="3"/>
              <c:layout>
                <c:manualLayout>
                  <c:x val="-2.396514161220048E-2"/>
                  <c:y val="0"/>
                </c:manualLayout>
              </c:layout>
              <c:tx>
                <c:rich>
                  <a:bodyPr/>
                  <a:lstStyle/>
                  <a:p>
                    <a:r>
                      <a:rPr lang="en-US"/>
                      <a:t>Diputado
8%</a:t>
                    </a:r>
                  </a:p>
                </c:rich>
              </c:tx>
              <c:dLblPos val="bestFit"/>
              <c:showCatName val="1"/>
              <c:showPercent val="1"/>
              <c:extLst xmlns:c16r2="http://schemas.microsoft.com/office/drawing/2015/06/chart">
                <c:ext xmlns:c16="http://schemas.microsoft.com/office/drawing/2014/chart" uri="{C3380CC4-5D6E-409C-BE32-E72D297353CC}">
                  <c16:uniqueId val="{00000007-EC78-45DC-873B-B33EDEC055E2}"/>
                </c:ext>
                <c:ext xmlns:c15="http://schemas.microsoft.com/office/drawing/2012/chart" uri="{CE6537A1-D6FC-4f65-9D91-7224C49458BB}"/>
              </c:extLst>
            </c:dLbl>
            <c:dLbl>
              <c:idx val="4"/>
              <c:layout>
                <c:manualLayout>
                  <c:x val="0.18688434280643282"/>
                  <c:y val="4.0692587845124588E-7"/>
                </c:manualLayout>
              </c:layout>
              <c:tx>
                <c:rich>
                  <a:bodyPr/>
                  <a:lstStyle/>
                  <a:p>
                    <a:r>
                      <a:rPr lang="en-US"/>
                      <a:t>Senador
3%</a:t>
                    </a:r>
                  </a:p>
                </c:rich>
              </c:tx>
              <c:dLblPos val="bestFit"/>
              <c:showCatName val="1"/>
              <c:showPercent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spc="0" baseline="0">
                    <a:solidFill>
                      <a:schemeClr val="tx1"/>
                    </a:solidFill>
                    <a:latin typeface="+mn-lt"/>
                    <a:ea typeface="+mn-ea"/>
                    <a:cs typeface="+mn-cs"/>
                  </a:defRPr>
                </a:pPr>
                <a:endParaRPr lang="es-CO"/>
              </a:p>
            </c:txPr>
            <c:dLblPos val="outEnd"/>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Hoja1!$A$2:$A$6</c:f>
              <c:strCache>
                <c:ptCount val="5"/>
                <c:pt idx="0">
                  <c:v>Alcalde (sa)</c:v>
                </c:pt>
                <c:pt idx="1">
                  <c:v>Concejal </c:v>
                </c:pt>
                <c:pt idx="2">
                  <c:v>Gobernador(a)</c:v>
                </c:pt>
                <c:pt idx="3">
                  <c:v>Diputado(a)</c:v>
                </c:pt>
                <c:pt idx="4">
                  <c:v>Senador (a)</c:v>
                </c:pt>
              </c:strCache>
            </c:strRef>
          </c:cat>
          <c:val>
            <c:numRef>
              <c:f>Hoja1!$B$2:$B$6</c:f>
              <c:numCache>
                <c:formatCode>General</c:formatCode>
                <c:ptCount val="5"/>
                <c:pt idx="0">
                  <c:v>98</c:v>
                </c:pt>
                <c:pt idx="1">
                  <c:v>100</c:v>
                </c:pt>
                <c:pt idx="2">
                  <c:v>24</c:v>
                </c:pt>
                <c:pt idx="3">
                  <c:v>19</c:v>
                </c:pt>
                <c:pt idx="4">
                  <c:v>7</c:v>
                </c:pt>
              </c:numCache>
            </c:numRef>
          </c:val>
          <c:extLst xmlns:c16r2="http://schemas.microsoft.com/office/drawing/2015/06/chart">
            <c:ext xmlns:c16="http://schemas.microsoft.com/office/drawing/2014/chart" uri="{C3380CC4-5D6E-409C-BE32-E72D297353CC}">
              <c16:uniqueId val="{0000000A-EC78-45DC-873B-B33EDEC055E2}"/>
            </c:ext>
          </c:extLst>
        </c:ser>
        <c:ser>
          <c:idx val="1"/>
          <c:order val="1"/>
          <c:dPt>
            <c:idx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C-EC78-45DC-873B-B33EDEC055E2}"/>
              </c:ext>
            </c:extLst>
          </c:dPt>
          <c:dPt>
            <c:idx val="1"/>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E-EC78-45DC-873B-B33EDEC055E2}"/>
              </c:ext>
            </c:extLst>
          </c:dPt>
          <c:dPt>
            <c:idx val="2"/>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10-EC78-45DC-873B-B33EDEC055E2}"/>
              </c:ext>
            </c:extLst>
          </c:dPt>
          <c:dPt>
            <c:idx val="3"/>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12-EC78-45DC-873B-B33EDEC055E2}"/>
              </c:ext>
            </c:extLst>
          </c:dPt>
          <c:dPt>
            <c:idx val="4"/>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14-EC78-45DC-873B-B33EDEC055E2}"/>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s-CO"/>
                </a:p>
              </c:txPr>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s-CO"/>
                </a:p>
              </c:txPr>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s-CO"/>
                </a:p>
              </c:txPr>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s-CO"/>
                </a:p>
              </c:txPr>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s-CO"/>
                </a:p>
              </c:txPr>
            </c:dLbl>
            <c:spPr>
              <a:noFill/>
              <a:ln>
                <a:noFill/>
              </a:ln>
              <a:effectLst/>
            </c:spPr>
            <c:dLblPos val="outEnd"/>
            <c:showCatName val="1"/>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Hoja1!$A$2:$A$6</c:f>
              <c:strCache>
                <c:ptCount val="5"/>
                <c:pt idx="0">
                  <c:v>Alcalde (sa)</c:v>
                </c:pt>
                <c:pt idx="1">
                  <c:v>Concejal </c:v>
                </c:pt>
                <c:pt idx="2">
                  <c:v>Gobernador(a)</c:v>
                </c:pt>
                <c:pt idx="3">
                  <c:v>Diputado(a)</c:v>
                </c:pt>
                <c:pt idx="4">
                  <c:v>Senador (a)</c:v>
                </c:pt>
              </c:strCache>
            </c:strRef>
          </c:cat>
          <c:val>
            <c:numRef>
              <c:f>Hoja1!$C$2:$C$6</c:f>
              <c:numCache>
                <c:formatCode>0.00%</c:formatCode>
                <c:ptCount val="5"/>
                <c:pt idx="0">
                  <c:v>0.4</c:v>
                </c:pt>
                <c:pt idx="1">
                  <c:v>0.4</c:v>
                </c:pt>
                <c:pt idx="2">
                  <c:v>0.1</c:v>
                </c:pt>
                <c:pt idx="3">
                  <c:v>7.0000000000000021E-2</c:v>
                </c:pt>
                <c:pt idx="4">
                  <c:v>3.0000000000000002E-2</c:v>
                </c:pt>
              </c:numCache>
            </c:numRef>
          </c:val>
          <c:extLst xmlns:c16r2="http://schemas.microsoft.com/office/drawing/2015/06/chart">
            <c:ext xmlns:c16="http://schemas.microsoft.com/office/drawing/2014/chart" uri="{C3380CC4-5D6E-409C-BE32-E72D297353CC}">
              <c16:uniqueId val="{00000015-EC78-45DC-873B-B33EDEC055E2}"/>
            </c:ext>
          </c:extLst>
        </c:ser>
        <c:dLbls>
          <c:showPercent val="1"/>
        </c:dLbls>
      </c:pie3DChart>
      <c:spPr>
        <a:noFill/>
        <a:ln>
          <a:noFill/>
        </a:ln>
        <a:effectLst/>
      </c:spPr>
    </c:plotArea>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CO"/>
  <c:chart>
    <c:title>
      <c:tx>
        <c:rich>
          <a:bodyPr rot="0" spcFirstLastPara="1" vertOverflow="ellipsis" vert="horz" wrap="square" anchor="ctr" anchorCtr="1"/>
          <a:lstStyle/>
          <a:p>
            <a:pPr>
              <a:defRPr sz="1200" b="1" i="0" u="none" strike="noStrike" kern="1200" spc="0" baseline="0">
                <a:solidFill>
                  <a:schemeClr val="tx1"/>
                </a:solidFill>
                <a:latin typeface="+mn-lt"/>
                <a:ea typeface="+mn-ea"/>
                <a:cs typeface="+mn-cs"/>
              </a:defRPr>
            </a:pPr>
            <a:r>
              <a:rPr lang="es-CO" sz="1200" b="1" i="0" u="none" strike="noStrike" baseline="0"/>
              <a:t>Gráfica # 13: </a:t>
            </a:r>
            <a:r>
              <a:rPr lang="en-US" sz="1200" b="1" dirty="0" err="1" smtClean="0">
                <a:solidFill>
                  <a:schemeClr val="tx1"/>
                </a:solidFill>
              </a:rPr>
              <a:t>Porcentaje</a:t>
            </a:r>
            <a:r>
              <a:rPr lang="en-US" sz="1200" b="1" baseline="0" dirty="0" smtClean="0">
                <a:solidFill>
                  <a:schemeClr val="tx1"/>
                </a:solidFill>
              </a:rPr>
              <a:t> de </a:t>
            </a:r>
            <a:r>
              <a:rPr lang="en-US" sz="1200" b="1" baseline="0" dirty="0" err="1" smtClean="0">
                <a:solidFill>
                  <a:schemeClr val="tx1"/>
                </a:solidFill>
              </a:rPr>
              <a:t>hechos</a:t>
            </a:r>
            <a:r>
              <a:rPr lang="en-US" sz="1200" b="1" baseline="0" dirty="0" smtClean="0">
                <a:solidFill>
                  <a:schemeClr val="tx1"/>
                </a:solidFill>
              </a:rPr>
              <a:t> de </a:t>
            </a:r>
            <a:r>
              <a:rPr lang="en-US" sz="1200" b="1" baseline="0" dirty="0" err="1" smtClean="0">
                <a:solidFill>
                  <a:schemeClr val="tx1"/>
                </a:solidFill>
              </a:rPr>
              <a:t>corrupción</a:t>
            </a:r>
            <a:r>
              <a:rPr lang="en-US" sz="1200" b="1" baseline="0" dirty="0" smtClean="0">
                <a:solidFill>
                  <a:schemeClr val="tx1"/>
                </a:solidFill>
              </a:rPr>
              <a:t> </a:t>
            </a:r>
            <a:r>
              <a:rPr lang="en-US" sz="1200" b="1" baseline="0" dirty="0" err="1" smtClean="0">
                <a:solidFill>
                  <a:schemeClr val="tx1"/>
                </a:solidFill>
              </a:rPr>
              <a:t>reportados</a:t>
            </a:r>
            <a:r>
              <a:rPr lang="en-US" sz="1200" b="1" baseline="0" dirty="0" smtClean="0">
                <a:solidFill>
                  <a:schemeClr val="tx1"/>
                </a:solidFill>
              </a:rPr>
              <a:t> </a:t>
            </a:r>
            <a:r>
              <a:rPr lang="en-US" sz="1200" b="1" baseline="0" dirty="0" err="1" smtClean="0">
                <a:solidFill>
                  <a:schemeClr val="tx1"/>
                </a:solidFill>
              </a:rPr>
              <a:t>por</a:t>
            </a:r>
            <a:r>
              <a:rPr lang="en-US" sz="1200" b="1" baseline="0" dirty="0" smtClean="0">
                <a:solidFill>
                  <a:schemeClr val="tx1"/>
                </a:solidFill>
              </a:rPr>
              <a:t> la </a:t>
            </a:r>
            <a:r>
              <a:rPr lang="en-US" sz="1200" b="1" baseline="0" dirty="0" err="1" smtClean="0">
                <a:solidFill>
                  <a:schemeClr val="tx1"/>
                </a:solidFill>
              </a:rPr>
              <a:t>prensa</a:t>
            </a:r>
            <a:r>
              <a:rPr lang="en-US" sz="1200" b="1" baseline="0" dirty="0" smtClean="0">
                <a:solidFill>
                  <a:schemeClr val="tx1"/>
                </a:solidFill>
              </a:rPr>
              <a:t> </a:t>
            </a:r>
            <a:r>
              <a:rPr lang="en-US" sz="1200" b="1" baseline="0" dirty="0" err="1" smtClean="0">
                <a:solidFill>
                  <a:schemeClr val="tx1"/>
                </a:solidFill>
              </a:rPr>
              <a:t>según</a:t>
            </a:r>
            <a:r>
              <a:rPr lang="en-US" sz="1200" b="1" baseline="0" dirty="0" smtClean="0">
                <a:solidFill>
                  <a:schemeClr val="tx1"/>
                </a:solidFill>
              </a:rPr>
              <a:t> </a:t>
            </a:r>
            <a:r>
              <a:rPr lang="en-US" sz="1200" b="1" baseline="0" dirty="0" err="1" smtClean="0">
                <a:solidFill>
                  <a:schemeClr val="tx1"/>
                </a:solidFill>
              </a:rPr>
              <a:t>delito</a:t>
            </a:r>
            <a:endParaRPr lang="en-US" sz="1200" b="1" dirty="0">
              <a:solidFill>
                <a:schemeClr val="tx1"/>
              </a:solidFill>
            </a:endParaRPr>
          </a:p>
        </c:rich>
      </c:tx>
      <c:spPr>
        <a:noFill/>
        <a:ln>
          <a:noFill/>
        </a:ln>
        <a:effectLst/>
      </c:spPr>
    </c:title>
    <c:plotArea>
      <c:layout/>
      <c:barChart>
        <c:barDir val="col"/>
        <c:grouping val="clustered"/>
        <c:ser>
          <c:idx val="0"/>
          <c:order val="0"/>
          <c:spPr>
            <a:solidFill>
              <a:schemeClr val="accent1"/>
            </a:solidFill>
            <a:ln>
              <a:noFill/>
            </a:ln>
            <a:effectLst/>
          </c:spPr>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s-CO"/>
              </a:p>
            </c:txPr>
            <c:dLblPos val="outEnd"/>
            <c:showVal val="1"/>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'Indicadores actores'!$E$91:$E$96</c:f>
              <c:strCache>
                <c:ptCount val="6"/>
                <c:pt idx="0">
                  <c:v>Peculado</c:v>
                </c:pt>
                <c:pt idx="1">
                  <c:v>Celebración indebida de contratos</c:v>
                </c:pt>
                <c:pt idx="2">
                  <c:v>Falsedad en documento público</c:v>
                </c:pt>
                <c:pt idx="3">
                  <c:v>Concierto para delinquir</c:v>
                </c:pt>
                <c:pt idx="4">
                  <c:v>Otros</c:v>
                </c:pt>
                <c:pt idx="5">
                  <c:v>Prevaricato</c:v>
                </c:pt>
              </c:strCache>
            </c:strRef>
          </c:cat>
          <c:val>
            <c:numRef>
              <c:f>'Indicadores actores'!$G$91:$G$96</c:f>
              <c:numCache>
                <c:formatCode>0%</c:formatCode>
                <c:ptCount val="6"/>
                <c:pt idx="0">
                  <c:v>0.18133203694701044</c:v>
                </c:pt>
                <c:pt idx="1">
                  <c:v>0.13466212931453567</c:v>
                </c:pt>
                <c:pt idx="2">
                  <c:v>0.11764705882352942</c:v>
                </c:pt>
                <c:pt idx="3">
                  <c:v>0.10743801652892561</c:v>
                </c:pt>
                <c:pt idx="4">
                  <c:v>8.4589207583860043E-2</c:v>
                </c:pt>
                <c:pt idx="5">
                  <c:v>7.2435585804569783E-2</c:v>
                </c:pt>
              </c:numCache>
            </c:numRef>
          </c:val>
          <c:extLst xmlns:c16r2="http://schemas.microsoft.com/office/drawing/2015/06/chart">
            <c:ext xmlns:c16="http://schemas.microsoft.com/office/drawing/2014/chart" uri="{C3380CC4-5D6E-409C-BE32-E72D297353CC}">
              <c16:uniqueId val="{00000000-B05C-468E-98A2-F545C7BDEBD4}"/>
            </c:ext>
          </c:extLst>
        </c:ser>
        <c:dLbls>
          <c:showVal val="1"/>
        </c:dLbls>
        <c:gapWidth val="219"/>
        <c:overlap val="-27"/>
        <c:axId val="186048896"/>
        <c:axId val="186050432"/>
      </c:barChart>
      <c:catAx>
        <c:axId val="186048896"/>
        <c:scaling>
          <c:orientation val="minMax"/>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s-CO"/>
          </a:p>
        </c:txPr>
        <c:crossAx val="186050432"/>
        <c:crosses val="autoZero"/>
        <c:auto val="1"/>
        <c:lblAlgn val="ctr"/>
        <c:lblOffset val="100"/>
      </c:catAx>
      <c:valAx>
        <c:axId val="186050432"/>
        <c:scaling>
          <c:orientation val="minMax"/>
        </c:scaling>
        <c:delete val="1"/>
        <c:axPos val="l"/>
        <c:numFmt formatCode="0%" sourceLinked="1"/>
        <c:majorTickMark val="none"/>
        <c:tickLblPos val="none"/>
        <c:crossAx val="186048896"/>
        <c:crosses val="autoZero"/>
        <c:crossBetween val="between"/>
      </c:valAx>
      <c:spPr>
        <a:noFill/>
        <a:ln>
          <a:noFill/>
        </a:ln>
        <a:effectLst/>
      </c:spPr>
    </c:plotArea>
    <c:plotVisOnly val="1"/>
    <c:dispBlanksAs val="gap"/>
  </c:chart>
  <c:spPr>
    <a:noFill/>
    <a:ln>
      <a:noFill/>
    </a:ln>
    <a:effectLst/>
  </c:spPr>
  <c:txPr>
    <a:bodyPr/>
    <a:lstStyle/>
    <a:p>
      <a:pPr>
        <a:defRPr sz="1800"/>
      </a:pPr>
      <a:endParaRPr lang="es-CO"/>
    </a:p>
  </c:tx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Tema de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ado 2">
    <a:majorFont>
      <a:latin typeface="Yu Gothic UI Semibold"/>
      <a:ea typeface=""/>
      <a:cs typeface=""/>
    </a:majorFont>
    <a:minorFont>
      <a:latin typeface="Yu Gothic UI Semilight"/>
      <a:ea typeface=""/>
      <a:cs typeface=""/>
    </a:minorFont>
  </a:fontScheme>
  <a:fmtScheme name="Tema de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Tra18</b:Tag>
    <b:SourceType>DocumentFromInternetSite</b:SourceType>
    <b:Guid>{04B9D3E8-BBCD-4929-8523-12CBBC098A92}</b:Guid>
    <b:Author>
      <b:Author>
        <b:Corporate>Transparencia por Colombia</b:Corporate>
      </b:Author>
    </b:Author>
    <b:Title>Índice de Percepción de la Corrupción 2017: Corrupción, aún sin solución de fondo</b:Title>
    <b:Year>2018</b:Year>
    <b:Month>Febrero</b:Month>
    <b:Day>21</b:Day>
    <b:URL>http://transparenciacolombia.org.co/indice-de-percepcion-de-la-corrupcion-2017-corrupcion-aun-sin-solucion-de-fondo/</b:URL>
    <b:RefOrder>1</b:RefOrder>
  </b:Source>
  <b:Source>
    <b:Tag>Tra171</b:Tag>
    <b:SourceType>DocumentFromInternetSite</b:SourceType>
    <b:Guid>{202D7975-59A3-4F7E-BAF6-9674B9364C08}</b:Guid>
    <b:Author>
      <b:Author>
        <b:Corporate>Transparencia por Colombia</b:Corporate>
      </b:Author>
    </b:Author>
    <b:Title>Índice de Transparencia Nacional Resultados 2015-2016</b:Title>
    <b:Year>2017a</b:Year>
    <b:Month>Marzo</b:Month>
    <b:URL>http://www.indicedetransparencia.org.co/Portals/0/Documentos/Publicaciones%202015-2016/ITN%202015-2016.pdf</b:URL>
    <b:RefOrder>2</b:RefOrder>
  </b:Source>
  <b:Source>
    <b:Tag>Tra172</b:Tag>
    <b:SourceType>DocumentFromInternetSite</b:SourceType>
    <b:Guid>{6C525A9F-0446-49E6-A873-01806CFCD337}</b:Guid>
    <b:Author>
      <b:Author>
        <b:Corporate>Transparencia por Colombia</b:Corporate>
      </b:Author>
    </b:Author>
    <b:Title>Índice de Transparencia Departamental Resultados 2015-2016</b:Title>
    <b:Year>2017b</b:Year>
    <b:Month>Marzo</b:Month>
    <b:URL>http://www.indicedetransparencia.org.co/Portals/0/Documentos/Publicaciones%202015-2016/ITD%202015-2016.pdf</b:URL>
    <b:RefOrder>3</b:RefOrder>
  </b:Source>
  <b:Source>
    <b:Tag>Tra173</b:Tag>
    <b:SourceType>DocumentFromInternetSite</b:SourceType>
    <b:Guid>{1B1A5E08-C980-487D-9BF9-4A695E8DDC54}</b:Guid>
    <b:Author>
      <b:Author>
        <b:Corporate>Transparencia por Colombia</b:Corporate>
      </b:Author>
    </b:Author>
    <b:Title>Índice de Transparencia Municipal Resultados 2015-2016</b:Title>
    <b:Year>2017c</b:Year>
    <b:Month>Marzo</b:Month>
    <b:URL>http://www.indicedetransparencia.org.co/Portals/0/Documentos/Publicaciones%202015-2016/17.%20%C3%8Dndice%20de%20Transparencia%20Municial%202015-2016.pdf</b:URL>
    <b:RefOrder>4</b:RefOrder>
  </b:Source>
  <b:Source>
    <b:Tag>Gar10</b:Tag>
    <b:SourceType>BookSection</b:SourceType>
    <b:Guid>{93B6078C-523B-41C3-8B94-1BBE3F33074F}</b:Guid>
    <b:Author>
      <b:Author>
        <b:NameList>
          <b:Person>
            <b:Last>Garzón Valdés</b:Last>
            <b:First>Ernesto</b:First>
          </b:Person>
        </b:NameList>
      </b:Author>
      <b:BookAuthor>
        <b:NameList>
          <b:Person>
            <b:Last>Carbonell</b:Last>
            <b:First>Miguel</b:First>
          </b:Person>
          <b:Person>
            <b:Last>Vásquez</b:Last>
            <b:First>Rodolfo</b:First>
          </b:Person>
        </b:NameList>
      </b:BookAuthor>
    </b:Author>
    <b:Title>Acerca del concepto de corrupción</b:Title>
    <b:Year>2003</b:Year>
    <b:BookTitle>Poder, derecho y corrupción</b:BookTitle>
    <b:City>México</b:City>
    <b:Publisher>SIGLO XXI (MÉXICO)</b:Publisher>
    <b:RefOrder>5</b:RefOrder>
  </b:Source>
  <b:Source>
    <b:Tag>Vel09</b:Tag>
    <b:SourceType>Book</b:SourceType>
    <b:Guid>{08DAD6C3-FF1D-43CA-8877-31833BDCC793}</b:Guid>
    <b:Author>
      <b:Author>
        <b:NameList>
          <b:Person>
            <b:Last>Velásquez</b:Last>
            <b:First>Fabio</b:First>
          </b:Person>
        </b:NameList>
      </b:Author>
    </b:Author>
    <b:Title>Las otras caras del poder. Territorio, conflicto y gestión pública en municipios colombianos</b:Title>
    <b:Year>2009</b:Year>
    <b:City>Bogotá</b:City>
    <b:Publisher>Foro Nacional por Colombia, GTZ</b:Publisher>
    <b:RefOrder>9</b:RefOrder>
  </b:Source>
  <b:Source>
    <b:Tag>Gar18</b:Tag>
    <b:SourceType>Book</b:SourceType>
    <b:Guid>{75A93A62-4207-8A4D-8BCE-8DF264F0F8FC}</b:Guid>
    <b:Title>Macro-Corrupción and Institutional Co-optation: The "Lava Jato" Criminal Network</b:Title>
    <b:City>Bogotá</b:City>
    <b:CountryRegion>Colombia</b:CountryRegion>
    <b:Publisher>Fundación Vortex</b:Publisher>
    <b:Year>2018</b:Year>
    <b:Author>
      <b:Author>
        <b:NameList>
          <b:Person>
            <b:Last>Garay Salamanca</b:Last>
            <b:First>L.J</b:First>
          </b:Person>
          <b:Person>
            <b:Last>Salcedo-Albarán</b:Last>
            <b:First>E</b:First>
          </b:Person>
          <b:Person>
            <b:Last>Macías</b:Last>
            <b:First>G.</b:First>
          </b:Person>
        </b:NameList>
      </b:Author>
    </b:Author>
    <b:RefOrder>1</b:RefOrder>
  </b:Source>
  <b:Source>
    <b:Tag>Gar181</b:Tag>
    <b:SourceType>Report</b:SourceType>
    <b:Guid>{DD84EE60-DA71-8A43-BD53-BEB670C19E8D}</b:Guid>
    <b:Title>Una génesis de la ilegalidad: Corrupción, Captura del Estado, Cooptación institucional y Macro-corrupción</b:Title>
    <b:Year>2018</b:Year>
    <b:StandardNumber>31</b:StandardNumber>
    <b:Publisher>Fundación Vortex</b:Publisher>
    <b:City>Bogotá</b:City>
    <b:ThesisType>Vortex Working Paper</b:ThesisType>
    <b:Author>
      <b:Author>
        <b:NameList>
          <b:Person>
            <b:Last>Garay-Salamanca</b:Last>
            <b:Middle>J.</b:Middle>
            <b:First>L.</b:First>
          </b:Person>
        </b:NameList>
      </b:Author>
    </b:Author>
    <b:RefOrder>2</b:RefOrder>
  </b:Source>
</b:Sources>
</file>

<file path=customXml/itemProps1.xml><?xml version="1.0" encoding="utf-8"?>
<ds:datastoreItem xmlns:ds="http://schemas.openxmlformats.org/officeDocument/2006/customXml" ds:itemID="{4136B41F-D2C8-4992-BE3C-37CEA2C12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10897</Words>
  <Characters>59934</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70690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mrodriguez</cp:lastModifiedBy>
  <cp:revision>2</cp:revision>
  <dcterms:created xsi:type="dcterms:W3CDTF">2019-04-05T20:14:00Z</dcterms:created>
  <dcterms:modified xsi:type="dcterms:W3CDTF">2019-04-05T20:14:00Z</dcterms:modified>
</cp:coreProperties>
</file>