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jc w:val="center"/>
      </w:pPr>
      <w:r>
        <w:rPr>
          <w:b/>
          <w:bCs/>
          <w:color w:val="0B1220"/>
          <w:sz w:val="56"/>
          <w:szCs w:val="56"/>
        </w:rPr>
        <w:t xml:space="preserve">MyHealthyGlucose.com</w:t>
      </w:r>
    </w:p>
    <w:p>
      <w:pPr>
        <w:spacing w:after="120"/>
        <w:jc w:val="center"/>
      </w:pPr>
      <w:r>
        <w:rPr>
          <w:b/>
          <w:bCs/>
          <w:color w:val="0EA5A5"/>
          <w:sz w:val="36"/>
          <w:szCs w:val="36"/>
        </w:rPr>
        <w:t xml:space="preserve">Website Roadmap</w:t>
      </w:r>
    </w:p>
    <w:p>
      <w:pPr>
        <w:spacing w:after="800"/>
        <w:jc w:val="center"/>
      </w:pPr>
      <w:r>
        <w:rPr>
          <w:i/>
          <w:iCs/>
          <w:color w:val="6B7280"/>
          <w:sz w:val="24"/>
          <w:szCs w:val="24"/>
        </w:rPr>
        <w:t xml:space="preserve">Building the go-to diabetes management platform on the web</w:t>
      </w:r>
    </w:p>
    <w:p>
      <w:pPr>
        <w:jc w:val="center"/>
      </w:pPr>
      <w:r>
        <w:rPr>
          <w:color w:val="6B7280"/>
          <w:sz w:val="20"/>
          <w:szCs w:val="20"/>
        </w:rPr>
        <w:t xml:space="preserve">Prepared for: Keyur Shah · DataSpark Tech LLC</w:t>
      </w:r>
    </w:p>
    <w:p>
      <w:pPr>
        <w:jc w:val="center"/>
      </w:pPr>
      <w:r>
        <w:rPr>
          <w:color w:val="6B7280"/>
          <w:sz w:val="20"/>
          <w:szCs w:val="20"/>
        </w:rPr>
        <w:t xml:space="preserve">Companion web platform for the MyHealthyGlucose app (Google Play, Open Testing)</w:t>
      </w:r>
    </w:p>
    <w:p>
      <w:pPr>
        <w:spacing w:after="200"/>
        <w:jc w:val="center"/>
      </w:pPr>
      <w:r>
        <w:rPr>
          <w:color w:val="6B7280"/>
          <w:sz w:val="20"/>
          <w:szCs w:val="20"/>
        </w:rPr>
        <w:t xml:space="preserve">Document version 1.0 — July 2026</w:t>
      </w:r>
    </w:p>
    <w:p>
      <w:r>
        <w:br w:type="page"/>
      </w:r>
    </w:p>
    <w:p>
      <w:pPr>
        <w:pStyle w:val="Heading1"/>
        <w:spacing w:after="200" w:before="400"/>
      </w:pPr>
      <w:r>
        <w:t xml:space="preserve">Progress Log</w:t>
      </w:r>
    </w:p>
    <w:p>
      <w:pPr>
        <w:spacing w:after="160"/>
      </w:pPr>
      <w:r>
        <w:rPr>
          <w:sz w:val="22"/>
          <w:szCs w:val="22"/>
        </w:rPr>
        <w:t xml:space="preserve">This section is updated after every build session so the roadmap always reflects what's actually live, not just what's planned.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Jul 21, 2026 — Foundation build</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Repo scaffolded (Vite + React + TypeScript + Tailwind v4 + Framer Motion). Design system implemented: dark teal/navy background, brand-accurate teal→orange gradient accents, glassmorphic cards, Space Grotesk + Inter (self-hosted, no external font CDN). Signature animated element built: a self-drawing glucose trend card with count-up number, mirroring the app's real UI.</w:t>
            </w:r>
          </w:p>
        </w:tc>
      </w:tr>
      <w:tr>
        <w:tc>
          <w:tcPr>
            <w:tcW w:type="dxa" w:w="3200"/>
            <w:shd w:fill="FFFFFF" w:val="clear"/>
            <w:tcMar>
              <w:top w:type="dxa" w:w="100"/>
              <w:left w:type="dxa" w:w="120"/>
              <w:bottom w:type="dxa" w:w="100"/>
              <w:right w:type="dxa" w:w="120"/>
            </w:tcMar>
          </w:tcPr>
          <w:p>
            <w:r>
              <w:rPr>
                <w:b/>
                <w:bCs/>
                <w:color w:val="111827"/>
                <w:sz w:val="20"/>
                <w:szCs w:val="20"/>
              </w:rPr>
              <w:t xml:space="preserve">Jul 21, 2026 — Core pages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Home (hero, animated stats bar, features grid, how-it-works, CTA), About the App (pricing + release notes migrated from the current DataSpark site), About Us. Tools / Info Hub / Blog shipped as clear “coming soon” placeholders so navigation never dead-ends.</w:t>
            </w:r>
          </w:p>
        </w:tc>
      </w:tr>
      <w:tr>
        <w:tc>
          <w:tcPr>
            <w:tcW w:type="dxa" w:w="3200"/>
            <w:shd w:fill="F8FAFC" w:val="clear"/>
            <w:tcMar>
              <w:top w:type="dxa" w:w="100"/>
              <w:left w:type="dxa" w:w="120"/>
              <w:bottom w:type="dxa" w:w="100"/>
              <w:right w:type="dxa" w:w="120"/>
            </w:tcMar>
          </w:tcPr>
          <w:p>
            <w:r>
              <w:rPr>
                <w:b/>
                <w:bCs/>
                <w:color w:val="111827"/>
                <w:sz w:val="20"/>
                <w:szCs w:val="20"/>
              </w:rPr>
              <w:t xml:space="preserve">Jul 21, 2026 — Infrastructure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GitHub Actions workflow added for automatic build → deploy to GitHub Pages on every push to main. CNAME configured for myhealthyglucose.com. TypeScript compiles clean; production build verified.</w:t>
            </w:r>
          </w:p>
        </w:tc>
      </w:tr>
      <w:tr>
        <w:tc>
          <w:tcPr>
            <w:tcW w:type="dxa" w:w="3200"/>
            <w:shd w:fill="FFFFFF" w:val="clear"/>
            <w:tcMar>
              <w:top w:type="dxa" w:w="100"/>
              <w:left w:type="dxa" w:w="120"/>
              <w:bottom w:type="dxa" w:w="100"/>
              <w:right w:type="dxa" w:w="120"/>
            </w:tcMar>
          </w:tcPr>
          <w:p>
            <w:r>
              <w:rPr>
                <w:b/>
                <w:bCs/>
                <w:color w:val="111827"/>
                <w:sz w:val="20"/>
                <w:szCs w:val="20"/>
              </w:rPr>
              <w:t xml:space="preserve">Jul 21, 2026 — Tools DNS + go-live</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Custom domain myhealthyglucose.com connected via GitHub Pages (4 apex A records + www CNAME to datasparktech.github.io). Redundant root CNAME removed; public/CNAME is the single source of truth.</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Phase 2 tools shipped</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All four calculators built and live: BMI Calculator (metric/imperial, animated gauge, diabetes-risk context), Carb Calculator (searchable 45+ item food database across Indian/Western/staples, live meal total), A1C ↔ Average Glucose Converter (bidirectional, mg/dL + mmol/L, ADAG formula, reference table), and a 6-question Diabetes Risk Quiz (ADA-style factors, scored bands). Shared ToolShell + medical disclaimer components; Tools hub rebuilt as a real landing page. Math verified against reference values.</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Phase 3 Info Hub shipped</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Diabetes Info Hub built and live: 5 evergreen cornerstone guides (types of diabetes; HbA1c &amp; time-in-range; hypo vs hyper emergencies; diabetic diet basics across cuisines; newly-diagnosed checklist), each with structured sections, key-takeaways, medical disclaimer, related-tool CTA, and cross-links. Searchable A–Z glossary (23 terms). Data-driven system — new guides are added by editing one data file. Content verified in live DOM.</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Phase 4 + polish shipped</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Login &amp; blog system built on Supabase (secure email/password auth with admin + editor roles via app_metadata; admin can delete, editor can't). Full blog: public listing + single-post pages with Markdown rendering, plus an admin dashboard and create/edit editor with draft/publish. In-built Contact form (Formspree → connect@datasparktech.com) replacing the old mailto. Content fixes: removed Princeton city from About; footer Contact now links to the form. Interactivity/polish: app-showcase section with floating brand graphic, scroll-progress bar, animated mobile menu (site had no mobile nav before), staggered reveals. Ships in a graceful 'not configured yet' state until keys are added — SQL schema + step-by-step setup guide written to /docs.</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Backend live + Phase 5 + imagery</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Owner connected a second free Supabase account + Formspree; login, blog admin, and contact form all verified working live. Phase 5 community features shipped: cuisine voting (anonymous, one-per-person, animated result bars), public feature-request board (submit + upvote, status tags), and a testimonials wall (public submit → team-approves before showing). New /community page + nav/footer links. Real photography added throughout (verified Unsplash images, free license): alternating photo-bands on the home page (thali, doctor+patient, healthy bowl), an image band on the Tools hub. Three ready-to-publish starter blog posts written to docs/starter-blog-posts.md. Phase 5 SQL schema in docs/supabase-schema-phase5.sql.</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Phase 6 tools + fixes + content</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Fixed mobile homepage hero overflow (responsive type scale + global word-break + overflow-x guard). Added a Login/Dashboard button to the nav (desktop + mobile), auth-aware. Four new tools shipped: Glycemic Index &amp; Load lookup, Insulin-to-Carb Ratio calculator, Hydration calculator, and a printable Emergency Guide — Tools hub now lists 8 tools. Four built-in blog posts now live immediately (What Is Diabetes, Early Signs of Diabetes, Just Diagnosed — Start Here, How Food Affects Blood Sugar) via a seed-post system that renders without the database; admin editor posts appear alongside them. More photography added to About Us and Info Hub.</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Phase 7: SEO, newsletter, testimonial admin, AI assistant</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(1) Testimonial approval UI added to the admin dashboard — pending submissions show with Approve/Reject buttons (needs docs/supabase-testimonial-delete-policy.sql for reject). (2) Newsletter signup in the footer, storing to a Supabase subscribers table (docs/supabase-newsletter.sql). (3) SEO: per-page titles/descriptions/canonical/OG tags via react-helmet-async on home, guides, and blog posts; generated sitemap.xml (26 URLs) + robots.txt. (4) AI diabetes Q&amp;A assistant at /assistant — chat UI with strong guardrails (education-only system prompt, client-side dosing-question blocks, persistent disclaimer), backed by a Supabase Edge Function that keeps the Anthropic key server-side (docs/SETUP-ai-assistant.md). 'Ask AI' added to nav.</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Phase 8: Trust, performance, content</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(1) Legal/trust pages added: Privacy Policy, Terms of Use, and Medical Disclaimer (/legal/*), with footer links — fixes the previously broken privacy link and gives the health brand proper compliance footing (owner should get a lawyer to review). (2) Privacy-friendly, cookieless analytics (Plausible) that activates via a VITE_PLAUSIBLE_DOMAIN variable — no cookie banner needed. (3) Performance: route-level code-splitting (React.lazy) so visiting the homepage no longer downloads every tool/blog/admin bundle — 31 on-demand chunks. (4) Content push: 3 more blog posts (food &amp; blood sugar, exercise &amp; diabetes, understanding your numbers) — 6 posts total. Sitemap regenerated (32 URLs). (5) Contact email updated to connect@myhealthyglucose.com sitewide.</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Web-exclusive tools + app conversion</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Built the buildable half of the owner's web/mobile strategy. (1) Expanded regional food database (~95 foods with carbs, GI, protein, fat across Indian, East/SE Asian, Middle Eastern, Mexican, African, Western cuisines). (2) Meal Glycemic Simulator + Smart Swapper — build a meal, see total glycemic load/carbs/protein/fat, get one-tap lower-GI swaps with % reduction. (3) CGM CSV Visualizer — drag-drop a Dexcom/Libre/Contour export, parsed 100% in-browser (private), shows avg glucose, GMI, time-in-range, and a glucose curve. (4) SEO lead-magnet calculators: Daily Carb &amp; Fiber Target, Post-Meal Glucose Target Finder. (5) App Landing Zone on the homepage — QR code to install, Google Play badge, phone mockups, feature highlights for desktop→mobile conversion. Tools hub now lists 12 tools; sitemap at 36 URLs. NOTE: the web dashboard of mobile logs and caregiver sharing were scoped OUT — they require the Android app to sync data to a shared backend first (an app-dev project, not a website task).</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Real screenshots + Features/app-tour 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Owner supplied 9 real app screenshots. Processed and added to the site: (1) App Landing Zone on the homepage now shows real screenshots (Today dashboard, Food diary) instead of stylized mockups. (2) New dedicated /features page — a full visual app tour walking through all 9 screens with captions: Today dashboard, Food diary, Barcode/label scanning, Medications, Preventive care &amp; screenings, Quick care modes &amp; Emergency ID, Family &amp; caregivers, Medical profile, and the full menu (Dexcom CGM, multi-profile, lab scanning, reports). Nav 'The App' relabeled 'Features' → /features; existing /about-app (pricing/plans) still reachable via footer and a CTA on the new page. Sitemap now 37 URLs.
Note from these screenshots: the app already has Family/Caregiver sharing (via share code) and Dexcom CGM integration built in — so the previously-deferred 'web dashboard' and 'family sharing on web' features are more buildable than first scoped, once the owner's separate app.myhealthyglucose.com project exposes that data. Owner is handling that piece separately.</w:t>
            </w:r>
          </w:p>
        </w:tc>
      </w:tr>
      <w:tr>
        <w:tc>
          <w:tcPr>
            <w:tcW w:type="dxa" w:w="3200"/>
            <w:shd w:fill="FFFFFF" w:val="clear"/>
            <w:tcMar>
              <w:top w:type="dxa" w:w="100"/>
              <w:left w:type="dxa" w:w="120"/>
              <w:bottom w:type="dxa" w:w="100"/>
              <w:right w:type="dxa" w:w="120"/>
            </w:tcMar>
          </w:tcPr>
          <w:p>
            <w:r>
              <w:rPr>
                <w:b/>
                <w:bCs/>
                <w:color w:val="111827"/>
                <w:sz w:val="20"/>
                <w:szCs w:val="20"/>
              </w:rPr>
              <w:t xml:space="preserve">Owner actions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None required — this batch is fully self-contained. When ready for app.myhealthyglucose.com, the mobile app already has the sync/sharing primitives (family codes, CGM) that a web dashboard would read from.</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i18n architecture + Give Back page + affiliate Store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(1) Multi-language architecture built with react-i18next: English/Hindi/Spanish locale files covering nav, footer, and homepage hero; language switcher in nav + mobile menu with browser auto-detect and manual override. Architecture is ready to expand — translating the rest of the content (blog, guides, tools) is incremental work from here. (2) /give — an honest, transparent donation page: choose where funds go (free diabetes kits vs. NGO partner support), with a clear disclosure that DataSpark Tech LLC is not a registered nonprofit so donations aren't tax-deductible unless stated otherwise. Donate button wired to a VITE_DONATION_LINK env var (Stripe Payment Link recommended), shows a graceful 'not open yet' state until configured. Homepage Give Back callout band added. (3) /store — affiliate OTC store with 12 seeded diabetes products (meters, strips, lancets, glucose tabs, foot care, CGM accessories, BP monitor). Auto-detects US vs. India via a free, key-less IP geolocation API (ipwho.is) with a manual country toggle and safe 3s-timeout fallback. Required FTC-style affiliate disclosure built in. Product links are functional Amazon-search placeholders until real affiliate IDs are added. Docs written: SETUP-donations.md (Stripe walkthrough + a flag that many US states require charitable-solicitation registration before collecting donations — recommended a lawyer/accountant review before promoting this at scale) and SETUP-store-affiliates.md (Amazon Associates US + India sign-up, other affiliate options). Sitemap now 39 URLs.</w:t>
            </w:r>
          </w:p>
        </w:tc>
      </w:tr>
      <w:tr>
        <w:tc>
          <w:tcPr>
            <w:tcW w:type="dxa" w:w="3200"/>
            <w:shd w:fill="FFFFFF" w:val="clear"/>
            <w:tcMar>
              <w:top w:type="dxa" w:w="100"/>
              <w:left w:type="dxa" w:w="120"/>
              <w:bottom w:type="dxa" w:w="100"/>
              <w:right w:type="dxa" w:w="120"/>
            </w:tcMar>
          </w:tcPr>
          <w:p>
            <w:r>
              <w:rPr>
                <w:b/>
                <w:bCs/>
                <w:color w:val="111827"/>
                <w:sz w:val="20"/>
                <w:szCs w:val="20"/>
              </w:rPr>
              <w:t xml:space="preserve">Owner actions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(1) For real donations: create a Stripe account, make a Payment Link, add its URL as GitHub variable VITE_DONATION_LINK (the workflow already passes it through). Strongly consider the charitable-solicitation and tax-deductibility questions in SETUP-donations.md before promoting widely — partnering with an existing registered NGO and linking to their donation page is the lowest-friction path if you want to start now. (2) For store commissions: sign up for Amazon Associates (separate programs for .com and .in), then send the tracking IDs to have them wired into all 12 products. (3) i18n: consider a native-speaker review of the Hindi/Spanish translations before heavy promotion in those markets, and let us know which pages to translate next.</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Admin-manageable Store &amp; Settings</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Built a real admin content-management layer, per owner request that admin should be able to do more than manage blog posts and approve testimonials. NEW /admin/store: full CRUD for the affiliate product catalog — add/edit/hide/delete products, one-click 'Add 12 starter products' to seed from the built-in catalog, separate US/India price+link+retailer fields per product. NEW /admin/settings: key/value site settings starting with the donation link — the Give Back page now reads this live from the database, no redeploy needed to change it. Both pages share a new AdminNav tab bar alongside the existing Blog &amp; Community dashboard. The public /store and /give pages were updated to read from Supabase (with automatic fallback to the old static/env-var values if the database isn't connected yet, so nothing breaks mid-migration). Schema: docs/supabase-schema-admin.sql.</w:t>
            </w:r>
          </w:p>
        </w:tc>
      </w:tr>
      <w:tr>
        <w:tc>
          <w:tcPr>
            <w:tcW w:type="dxa" w:w="3200"/>
            <w:shd w:fill="FFFFFF" w:val="clear"/>
            <w:tcMar>
              <w:top w:type="dxa" w:w="100"/>
              <w:left w:type="dxa" w:w="120"/>
              <w:bottom w:type="dxa" w:w="100"/>
              <w:right w:type="dxa" w:w="120"/>
            </w:tcMar>
          </w:tcPr>
          <w:p>
            <w:r>
              <w:rPr>
                <w:b/>
                <w:bCs/>
                <w:color w:val="111827"/>
                <w:sz w:val="20"/>
                <w:szCs w:val="20"/>
              </w:rPr>
              <w:t xml:space="preserve">Owner actions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Run docs/supabase-schema-admin.sql in Supabase to activate both /admin/store and /admin/settings. Once run, visit /admin/store and click 'Add 12 starter products' to load the catalog, then edit prices/links directly from the UI going forward — no more code changes needed for routine store or settings updates.</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Tools section translated (Hindi/Spanish)</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Expanded language coverage beyond nav/footer/hero to the entire Tools section, per owner request. Tools hub (title, subtitle, image caption, all 12 tool cards) and every one of the 12 calculator pages (BMI, A1C converter, Carb Calculator, Risk Quiz, Glycemic Index, Meal Simulator, CGM Analyzer, Carb Target, Post-Meal Target, Insulin Ratio, Hydration, Emergency Guide) now show translated page headers when Hindi or Spanish is selected. The shared ToolShell wrapper and Disclaimer component were translated once and now cover all 12 calculators automatically. Scope note: the interactive form fields/buttons inside each calculator (inputs, result labels) remain English for this pass — what's translated is the page-level content a visitor reads around the tool. Verified correct in both languages via the compiled build output.</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Give Back: switched to pure NGO pass-through</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Per owner decision, DataSpark Tech LLC will never collect, hold, or process donations. The Give Back page now links directly to a nonprofit partner's own donation page instead of collecting funds itself. Removed the kits/NGO allocation toggle; settings simplified to two admin-editable fields (NGO partner name + their donation page URL, via /admin/settings, no code changes). Copy is explicit that funds go straight to the NGO and that tax receipts/deductibility come from the NGO's own registered status. Removed the now-unused Stripe-link workflow variable. This substantially reduces legal/compliance surface area versus direct collection — no charitable-solicitation registration questions, no payment processor, no fiduciary handling of others' money. docs/SETUP-donations.md rewritten to match: just pick a vetted NGO, get their donation URL, add it in admin settings.</w:t>
            </w:r>
          </w:p>
        </w:tc>
      </w:tr>
      <w:tr>
        <w:tc>
          <w:tcPr>
            <w:tcW w:type="dxa" w:w="3200"/>
            <w:shd w:fill="F8FAFC" w:val="clear"/>
            <w:tcMar>
              <w:top w:type="dxa" w:w="100"/>
              <w:left w:type="dxa" w:w="120"/>
              <w:bottom w:type="dxa" w:w="100"/>
              <w:right w:type="dxa" w:w="120"/>
            </w:tcMar>
          </w:tcPr>
          <w:p>
            <w:r>
              <w:rPr>
                <w:b/>
                <w:bCs/>
                <w:color w:val="111827"/>
                <w:sz w:val="20"/>
                <w:szCs w:val="20"/>
              </w:rPr>
              <w:t xml:space="preserve">Jul 22, 2026 — Visual Explainers added to Info Hub</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New learning-tool category, per owner request for tools that help people learn (audience: everyone, from newly diagnosed to caregivers). Added as a third Info Hub content type (alongside Guides and Glossary). Three interactive, step-by-step animated diagrams built with SVG + Framer Motion (no external dependencies): How Insulin Works (5-step walkthrough of food to glucose to pancreas to insulin to cell uptake), How Digestion Affects Blood Sugar (digestive pathway diagram plus a fast-vs-slow-carb glucose-curve comparison), and Type 1 vs Type 2 (toggle-based comparison reusing the same diagram to show the actual mechanism difference). Shared ExplainerShell + StepControls components make adding more explainers straightforward going forward. Sitemap now 42 URLs.</w:t>
            </w:r>
          </w:p>
        </w:tc>
      </w:tr>
      <w:tr>
        <w:tc>
          <w:tcPr>
            <w:tcW w:type="dxa" w:w="3200"/>
            <w:shd w:fill="FFFFFF" w:val="clear"/>
            <w:tcMar>
              <w:top w:type="dxa" w:w="100"/>
              <w:left w:type="dxa" w:w="120"/>
              <w:bottom w:type="dxa" w:w="100"/>
              <w:right w:type="dxa" w:w="120"/>
            </w:tcMar>
          </w:tcPr>
          <w:p>
            <w:r>
              <w:rPr>
                <w:b/>
                <w:bCs/>
                <w:color w:val="111827"/>
                <w:sz w:val="20"/>
                <w:szCs w:val="20"/>
              </w:rPr>
              <w:t xml:space="preserve">Jul 22, 2026 — 4 more Visual Explainers (richer interactivity)</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Second explainer batch, more interactive/animated than the first, per owner request for more data and more interactivity. Where Diabetes Shows Up: click-to-explore body map with 5 hotspots (eyes, heart, kidneys, nerves/feet, skin), each with mechanism + a risk-reduction tip. A Day in the Life of Blood Sugar: animated 24-hour glucose curve with autoplay, 13 labeled data points across meals/exercise/sleep. The Glycemic Index Race: pick up to 4 of 8 real foods, curves generated procedurally from GI value, animated peak-comparison bars. What HbA1c Actually Measures: live slider (80-260 mg/dL average glucose) with real-time A1C calculation using the same ADAG formula as the A1C converter tool (cross-checked consistent: 154 mg/dL = 7.0% in both), animated red-blood-cell glycation visualization. Info Hub now lists 7 explainers total. Sitemap now 46 URLs.</w:t>
            </w:r>
          </w:p>
        </w:tc>
      </w:tr>
    </w:tbl>
    <w:p>
      <w:r>
        <w:br w:type="page"/>
      </w:r>
    </w:p>
    <w:p>
      <w:pPr>
        <w:pStyle w:val="Heading1"/>
        <w:spacing w:after="200" w:before="400"/>
      </w:pPr>
      <w:r>
        <w:t xml:space="preserve">Contents</w:t>
      </w:r>
    </w:p>
    <w:p>
      <w:pPr>
        <w:pStyle w:val="ListParagraph"/>
        <w:numPr>
          <w:ilvl w:val="0"/>
          <w:numId w:val="1"/>
        </w:numPr>
        <w:spacing w:after="80"/>
      </w:pPr>
      <w:r>
        <w:t xml:space="preserve">Progress Log</w:t>
      </w:r>
    </w:p>
    <w:p>
      <w:pPr>
        <w:pStyle w:val="ListParagraph"/>
        <w:numPr>
          <w:ilvl w:val="0"/>
          <w:numId w:val="1"/>
        </w:numPr>
        <w:spacing w:after="80"/>
      </w:pPr>
      <w:r>
        <w:t xml:space="preserve">1. Vision &amp; Objective</w:t>
      </w:r>
    </w:p>
    <w:p>
      <w:pPr>
        <w:pStyle w:val="ListParagraph"/>
        <w:numPr>
          <w:ilvl w:val="0"/>
          <w:numId w:val="1"/>
        </w:numPr>
        <w:spacing w:after="80"/>
      </w:pPr>
      <w:r>
        <w:t xml:space="preserve">2. Design Direction — "Modern &amp; Futuristic"</w:t>
      </w:r>
    </w:p>
    <w:p>
      <w:pPr>
        <w:pStyle w:val="ListParagraph"/>
        <w:numPr>
          <w:ilvl w:val="0"/>
          <w:numId w:val="1"/>
        </w:numPr>
        <w:spacing w:after="80"/>
      </w:pPr>
      <w:r>
        <w:t xml:space="preserve">3. Information Architecture</w:t>
      </w:r>
    </w:p>
    <w:p>
      <w:pPr>
        <w:pStyle w:val="ListParagraph"/>
        <w:numPr>
          <w:ilvl w:val="0"/>
          <w:numId w:val="1"/>
        </w:numPr>
        <w:spacing w:after="80"/>
      </w:pPr>
      <w:r>
        <w:t xml:space="preserve">4. Phased Roadmap  (Phases 0–7)</w:t>
      </w:r>
    </w:p>
    <w:p>
      <w:pPr>
        <w:pStyle w:val="ListParagraph"/>
        <w:numPr>
          <w:ilvl w:val="0"/>
          <w:numId w:val="1"/>
        </w:numPr>
        <w:spacing w:after="80"/>
      </w:pPr>
      <w:r>
        <w:t xml:space="preserve">5. Recommended Tech Stack</w:t>
      </w:r>
    </w:p>
    <w:p>
      <w:pPr>
        <w:pStyle w:val="ListParagraph"/>
        <w:numPr>
          <w:ilvl w:val="0"/>
          <w:numId w:val="1"/>
        </w:numPr>
        <w:spacing w:after="80"/>
      </w:pPr>
      <w:r>
        <w:t xml:space="preserve">6. Success Metrics by Phase</w:t>
      </w:r>
    </w:p>
    <w:p>
      <w:pPr>
        <w:pStyle w:val="ListParagraph"/>
        <w:numPr>
          <w:ilvl w:val="0"/>
          <w:numId w:val="1"/>
        </w:numPr>
        <w:spacing w:after="80"/>
      </w:pPr>
      <w:r>
        <w:t xml:space="preserve">7. Compliance &amp; Trust Notes</w:t>
      </w:r>
    </w:p>
    <w:p>
      <w:pPr>
        <w:pStyle w:val="ListParagraph"/>
        <w:numPr>
          <w:ilvl w:val="0"/>
          <w:numId w:val="1"/>
        </w:numPr>
        <w:spacing w:after="80"/>
      </w:pPr>
      <w:r>
        <w:t xml:space="preserve">8. Immediate Next Steps</w:t>
      </w:r>
    </w:p>
    <w:p>
      <w:r>
        <w:br w:type="page"/>
      </w:r>
    </w:p>
    <w:p>
      <w:pPr>
        <w:pStyle w:val="Heading1"/>
        <w:spacing w:after="200" w:before="400"/>
      </w:pPr>
      <w:r>
        <w:t xml:space="preserve">1. Vision &amp; Objective</w:t>
      </w:r>
    </w:p>
    <w:p>
      <w:pPr>
        <w:spacing w:after="160"/>
      </w:pPr>
      <w:r>
        <w:rPr>
          <w:sz w:val="22"/>
          <w:szCs w:val="22"/>
        </w:rPr>
        <w:t xml:space="preserve">MyHealthyGlucose.com should grow from a simple app-landing page into a full diabetes management platform on the web — a destination people find through Google search, bookmark, and return to weekly, independent of whether they've downloaded the app yet. The site has two jobs that reinforce each other:</w:t>
      </w:r>
    </w:p>
    <w:p>
      <w:pPr>
        <w:pStyle w:val="ListParagraph"/>
        <w:numPr>
          <w:ilvl w:val="0"/>
          <w:numId w:val="1"/>
        </w:numPr>
        <w:spacing w:after="80"/>
      </w:pPr>
      <w:r>
        <w:t xml:space="preserve">Serve as a genuinely useful, free resource — calculators, guides, and tools people search for every day ("BMI calculator," "carbs in dal makhani," "A1C to average glucose").</w:t>
      </w:r>
    </w:p>
    <w:p>
      <w:pPr>
        <w:pStyle w:val="ListParagraph"/>
        <w:numPr>
          <w:ilvl w:val="0"/>
          <w:numId w:val="1"/>
        </w:numPr>
        <w:spacing w:after="80"/>
      </w:pPr>
      <w:r>
        <w:t xml:space="preserve">Convert that traffic into app installs and an email list, using the app's real strengths — the 500+ dish multi-cuisine database, all-in-one tracking, travel mode, and reports — as the natural next step after someone uses a free tool.</w:t>
      </w:r>
    </w:p>
    <w:p>
      <w:pPr>
        <w:spacing w:after="160"/>
      </w:pPr>
      <w:r>
        <w:rPr>
          <w:sz w:val="22"/>
          <w:szCs w:val="22"/>
        </w:rPr>
        <w:t xml:space="preserve">Success looks like: thousands of organic visitors per month landing on tool and guide pages, a steadily growing content library that outranks generic competitors, and a visibly consistent app-to-web brand experience.</w:t>
      </w:r>
    </w:p>
    <w:p>
      <w:pPr>
        <w:pStyle w:val="Heading1"/>
        <w:spacing w:after="200" w:before="400"/>
      </w:pPr>
      <w:r>
        <w:t xml:space="preserve">2. Design Direction — "Modern &amp; Futuristic"</w:t>
      </w:r>
    </w:p>
    <w:p>
      <w:pPr>
        <w:spacing w:after="160"/>
      </w:pPr>
      <w:r>
        <w:rPr>
          <w:sz w:val="22"/>
          <w:szCs w:val="22"/>
        </w:rPr>
        <w:t xml:space="preserve">Based on the reference video shared (style direction only — not to be copied or cloned, given copyright), the target aesthetic is a dark, glowing, data-forward SaaS/health-tech look. Concretely, that translates to:</w:t>
      </w:r>
    </w:p>
    <w:p>
      <w:pPr>
        <w:pStyle w:val="ListParagraph"/>
        <w:numPr>
          <w:ilvl w:val="0"/>
          <w:numId w:val="1"/>
        </w:numPr>
        <w:spacing w:after="80"/>
      </w:pPr>
      <w:r>
        <w:rPr>
          <w:b/>
          <w:bCs/>
          <w:color w:val="0B1220"/>
          <w:sz w:val="22"/>
          <w:szCs w:val="22"/>
        </w:rPr>
        <w:t xml:space="preserve">Dark-mode-first canvas — </w:t>
      </w:r>
      <w:r>
        <w:rPr>
          <w:sz w:val="22"/>
          <w:szCs w:val="22"/>
        </w:rPr>
        <w:t xml:space="preserve">deep navy/near-black background (matches the app's existing dark mode), so content and gradients pop.</w:t>
      </w:r>
    </w:p>
    <w:p>
      <w:pPr>
        <w:pStyle w:val="ListParagraph"/>
        <w:numPr>
          <w:ilvl w:val="0"/>
          <w:numId w:val="1"/>
        </w:numPr>
        <w:spacing w:after="80"/>
      </w:pPr>
      <w:r>
        <w:rPr>
          <w:b/>
          <w:bCs/>
          <w:color w:val="0B1220"/>
          <w:sz w:val="22"/>
          <w:szCs w:val="22"/>
        </w:rPr>
        <w:t xml:space="preserve">Glowing gradient mesh &amp; orbs — </w:t>
      </w:r>
      <w:r>
        <w:rPr>
          <w:sz w:val="22"/>
          <w:szCs w:val="22"/>
        </w:rPr>
        <w:t xml:space="preserve">soft, blurred teal→violet→amber gradient blobs used behind hero sections and cards for depth, animated very slowly so it feels alive without being distracting.</w:t>
      </w:r>
    </w:p>
    <w:p>
      <w:pPr>
        <w:pStyle w:val="ListParagraph"/>
        <w:numPr>
          <w:ilvl w:val="0"/>
          <w:numId w:val="1"/>
        </w:numPr>
        <w:spacing w:after="80"/>
      </w:pPr>
      <w:r>
        <w:rPr>
          <w:b/>
          <w:bCs/>
          <w:color w:val="0B1220"/>
          <w:sz w:val="22"/>
          <w:szCs w:val="22"/>
        </w:rPr>
        <w:t xml:space="preserve">Glassmorphic cards — </w:t>
      </w:r>
      <w:r>
        <w:rPr>
          <w:sz w:val="22"/>
          <w:szCs w:val="22"/>
        </w:rPr>
        <w:t xml:space="preserve">frosted, semi-transparent panels with subtle borders for feature cards, tool widgets, and stat callouts.</w:t>
      </w:r>
    </w:p>
    <w:p>
      <w:pPr>
        <w:pStyle w:val="ListParagraph"/>
        <w:numPr>
          <w:ilvl w:val="0"/>
          <w:numId w:val="1"/>
        </w:numPr>
        <w:spacing w:after="80"/>
      </w:pPr>
      <w:r>
        <w:rPr>
          <w:b/>
          <w:bCs/>
          <w:color w:val="0B1220"/>
          <w:sz w:val="22"/>
          <w:szCs w:val="22"/>
        </w:rPr>
        <w:t xml:space="preserve">Bold, confident typography — </w:t>
      </w:r>
      <w:r>
        <w:rPr>
          <w:sz w:val="22"/>
          <w:szCs w:val="22"/>
        </w:rPr>
        <w:t xml:space="preserve">large geometric sans-serif headlines (e.g. Space Grotesk / Sora / Satoshi) paired with a highly legible body font for medical content (Inter / Source Sans).</w:t>
      </w:r>
    </w:p>
    <w:p>
      <w:pPr>
        <w:pStyle w:val="ListParagraph"/>
        <w:numPr>
          <w:ilvl w:val="0"/>
          <w:numId w:val="1"/>
        </w:numPr>
        <w:spacing w:after="80"/>
      </w:pPr>
      <w:r>
        <w:rPr>
          <w:b/>
          <w:bCs/>
          <w:color w:val="0B1220"/>
          <w:sz w:val="22"/>
          <w:szCs w:val="22"/>
        </w:rPr>
        <w:t xml:space="preserve">Data as decoration — </w:t>
      </w:r>
      <w:r>
        <w:rPr>
          <w:sz w:val="22"/>
          <w:szCs w:val="22"/>
        </w:rPr>
        <w:t xml:space="preserve">animated glucose trend lines, live-feeling counters (e.g. "78% Time in Range"), and subtle chart motifs echoed from the app's own UI, so the site visually rhymes with the product.</w:t>
      </w:r>
    </w:p>
    <w:p>
      <w:pPr>
        <w:pStyle w:val="ListParagraph"/>
        <w:numPr>
          <w:ilvl w:val="0"/>
          <w:numId w:val="1"/>
        </w:numPr>
        <w:spacing w:after="80"/>
      </w:pPr>
      <w:r>
        <w:rPr>
          <w:b/>
          <w:bCs/>
          <w:color w:val="0B1220"/>
          <w:sz w:val="22"/>
          <w:szCs w:val="22"/>
        </w:rPr>
        <w:t xml:space="preserve">Restrained motion — </w:t>
      </w:r>
      <w:r>
        <w:rPr>
          <w:sz w:val="22"/>
          <w:szCs w:val="22"/>
        </w:rPr>
        <w:t xml:space="preserve">scroll-triggered fades/slides and hover states, not constant animation — the audience skews toward people managing a chronic condition, so clarity and trust outrank spectacle.</w:t>
      </w:r>
    </w:p>
    <w:p>
      <w:pPr>
        <w:pStyle w:val="ListParagraph"/>
        <w:numPr>
          <w:ilvl w:val="0"/>
          <w:numId w:val="1"/>
        </w:numPr>
        <w:spacing w:after="80"/>
      </w:pPr>
      <w:r>
        <w:rPr>
          <w:b/>
          <w:bCs/>
          <w:color w:val="0B1220"/>
          <w:sz w:val="22"/>
          <w:szCs w:val="22"/>
        </w:rPr>
        <w:t xml:space="preserve">Accessible contrast — </w:t>
      </w:r>
      <w:r>
        <w:rPr>
          <w:sz w:val="22"/>
          <w:szCs w:val="22"/>
        </w:rPr>
        <w:t xml:space="preserve">every glow/gradient choice re-checked against WCAG AA contrast, since this is a health resource, not a portfolio site.</w:t>
      </w:r>
    </w:p>
    <w:p>
      <w:pPr>
        <w:spacing w:after="160"/>
      </w:pPr>
      <w:r>
        <w:rPr>
          <w:sz w:val="22"/>
          <w:szCs w:val="22"/>
        </w:rPr>
        <w:t xml:space="preserve">This direction should be captured as a written design system (colors, type scale, spacing, component library) before any page is built, so every new tool or blog page automatically looks consistent.</w:t>
      </w:r>
    </w:p>
    <w:p>
      <w:pPr>
        <w:pStyle w:val="Heading1"/>
        <w:spacing w:after="200" w:before="400"/>
      </w:pPr>
      <w:r>
        <w:t xml:space="preserve">3. Information Architecture</w:t>
      </w:r>
    </w:p>
    <w:p>
      <w:pPr>
        <w:pStyle w:val="Heading3"/>
        <w:spacing w:after="100" w:before="200"/>
      </w:pPr>
      <w:r>
        <w:t xml:space="preserve">Primary Navigation</w:t>
      </w:r>
    </w:p>
    <w:p>
      <w:pPr>
        <w:pStyle w:val="ListParagraph"/>
        <w:numPr>
          <w:ilvl w:val="0"/>
          <w:numId w:val="1"/>
        </w:numPr>
        <w:spacing w:after="80"/>
      </w:pPr>
      <w:r>
        <w:t xml:space="preserve">Home</w:t>
      </w:r>
    </w:p>
    <w:p>
      <w:pPr>
        <w:pStyle w:val="ListParagraph"/>
        <w:numPr>
          <w:ilvl w:val="0"/>
          <w:numId w:val="1"/>
        </w:numPr>
        <w:spacing w:after="80"/>
      </w:pPr>
      <w:r>
        <w:t xml:space="preserve">Tools  (Carb Calculator · BMI Calculator · A1C Converter · Risk Quiz · more over time)</w:t>
      </w:r>
    </w:p>
    <w:p>
      <w:pPr>
        <w:pStyle w:val="ListParagraph"/>
        <w:numPr>
          <w:ilvl w:val="0"/>
          <w:numId w:val="1"/>
        </w:numPr>
        <w:spacing w:after="80"/>
      </w:pPr>
      <w:r>
        <w:t xml:space="preserve">Diabetes Info Hub  (evergreen guides, glossary)</w:t>
      </w:r>
    </w:p>
    <w:p>
      <w:pPr>
        <w:pStyle w:val="ListParagraph"/>
        <w:numPr>
          <w:ilvl w:val="0"/>
          <w:numId w:val="1"/>
        </w:numPr>
        <w:spacing w:after="80"/>
      </w:pPr>
      <w:r>
        <w:t xml:space="preserve">Blog  (dated posts, recipes, updates)</w:t>
      </w:r>
    </w:p>
    <w:p>
      <w:pPr>
        <w:pStyle w:val="ListParagraph"/>
        <w:numPr>
          <w:ilvl w:val="0"/>
          <w:numId w:val="1"/>
        </w:numPr>
        <w:spacing w:after="80"/>
      </w:pPr>
      <w:r>
        <w:t xml:space="preserve">About the App  (condensed version of the current DataSpark site — features, pricing, screenshots, release notes)</w:t>
      </w:r>
    </w:p>
    <w:p>
      <w:pPr>
        <w:pStyle w:val="ListParagraph"/>
        <w:numPr>
          <w:ilvl w:val="0"/>
          <w:numId w:val="1"/>
        </w:numPr>
        <w:spacing w:after="80"/>
      </w:pPr>
      <w:r>
        <w:t xml:space="preserve">About Us</w:t>
      </w:r>
    </w:p>
    <w:p>
      <w:pPr>
        <w:pStyle w:val="Heading3"/>
        <w:spacing w:after="100" w:before="200"/>
      </w:pPr>
      <w:r>
        <w:t xml:space="preserve">Utility / Footer</w:t>
      </w:r>
    </w:p>
    <w:p>
      <w:pPr>
        <w:pStyle w:val="ListParagraph"/>
        <w:numPr>
          <w:ilvl w:val="0"/>
          <w:numId w:val="1"/>
        </w:numPr>
        <w:spacing w:after="80"/>
      </w:pPr>
      <w:r>
        <w:t xml:space="preserve">Privacy Policy · Terms · Contact / Support</w:t>
      </w:r>
    </w:p>
    <w:p>
      <w:pPr>
        <w:pStyle w:val="ListParagraph"/>
        <w:numPr>
          <w:ilvl w:val="0"/>
          <w:numId w:val="1"/>
        </w:numPr>
        <w:spacing w:after="80"/>
      </w:pPr>
      <w:r>
        <w:t xml:space="preserve">Newsletter signup</w:t>
      </w:r>
    </w:p>
    <w:p>
      <w:pPr>
        <w:pStyle w:val="ListParagraph"/>
        <w:numPr>
          <w:ilvl w:val="0"/>
          <w:numId w:val="1"/>
        </w:numPr>
        <w:spacing w:after="80"/>
      </w:pPr>
      <w:r>
        <w:t xml:space="preserve">Social + Play Store badge (App Store badge once iOS ships)</w:t>
      </w:r>
    </w:p>
    <w:p>
      <w:pPr>
        <w:pStyle w:val="Heading1"/>
        <w:spacing w:after="200" w:before="400"/>
      </w:pPr>
      <w:r>
        <w:t xml:space="preserve">4. Phased Roadmap</w:t>
      </w:r>
    </w:p>
    <w:p>
      <w:pPr>
        <w:spacing w:after="160"/>
      </w:pPr>
      <w:r>
        <w:rPr>
          <w:sz w:val="22"/>
          <w:szCs w:val="22"/>
        </w:rPr>
        <w:t xml:space="preserve">The build is broken into eight phases, sequenced so that each phase ships something usable on its own — nothing sits half-finished for months. Timeline estimates assume part-time / solo-founder pace and should be adjusted once we agree on how much time per week you can commit.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400"/>
        <w:gridCol w:w="3600"/>
      </w:tblGrid>
      <w:tr>
        <w:trPr>
          <w:tblHeader/>
        </w:trPr>
        <w:tc>
          <w:tcPr>
            <w:tcW w:type="dxa" w:w="2200"/>
            <w:shd w:fill="0B1220" w:val="clear"/>
            <w:tcMar>
              <w:top w:type="dxa" w:w="100"/>
              <w:left w:type="dxa" w:w="120"/>
              <w:bottom w:type="dxa" w:w="100"/>
              <w:right w:type="dxa" w:w="120"/>
            </w:tcMar>
          </w:tcPr>
          <w:p>
            <w:r>
              <w:rPr>
                <w:b/>
                <w:bCs/>
                <w:color w:val="FFFFFF"/>
                <w:sz w:val="20"/>
                <w:szCs w:val="20"/>
              </w:rPr>
              <w:t xml:space="preserve">Phase</w:t>
            </w:r>
          </w:p>
        </w:tc>
        <w:tc>
          <w:tcPr>
            <w:tcW w:type="dxa" w:w="1400"/>
            <w:shd w:fill="0B1220" w:val="clear"/>
            <w:tcMar>
              <w:top w:type="dxa" w:w="100"/>
              <w:left w:type="dxa" w:w="120"/>
              <w:bottom w:type="dxa" w:w="100"/>
              <w:right w:type="dxa" w:w="120"/>
            </w:tcMar>
          </w:tcPr>
          <w:p>
            <w:r>
              <w:rPr>
                <w:b/>
                <w:bCs/>
                <w:color w:val="FFFFFF"/>
                <w:sz w:val="20"/>
                <w:szCs w:val="20"/>
              </w:rPr>
              <w:t xml:space="preserve">Timeline</w:t>
            </w:r>
          </w:p>
        </w:tc>
        <w:tc>
          <w:tcPr>
            <w:tcW w:type="dxa" w:w="2400"/>
            <w:shd w:fill="0B1220" w:val="clear"/>
            <w:tcMar>
              <w:top w:type="dxa" w:w="100"/>
              <w:left w:type="dxa" w:w="120"/>
              <w:bottom w:type="dxa" w:w="100"/>
              <w:right w:type="dxa" w:w="120"/>
            </w:tcMar>
          </w:tcPr>
          <w:p>
            <w:r>
              <w:rPr>
                <w:b/>
                <w:bCs/>
                <w:color w:val="FFFFFF"/>
                <w:sz w:val="20"/>
                <w:szCs w:val="20"/>
              </w:rPr>
              <w:t xml:space="preserve">Focus</w:t>
            </w:r>
          </w:p>
        </w:tc>
        <w:tc>
          <w:tcPr>
            <w:tcW w:type="dxa" w:w="3600"/>
            <w:shd w:fill="0B1220" w:val="clear"/>
            <w:tcMar>
              <w:top w:type="dxa" w:w="100"/>
              <w:left w:type="dxa" w:w="120"/>
              <w:bottom w:type="dxa" w:w="100"/>
              <w:right w:type="dxa" w:w="120"/>
            </w:tcMar>
          </w:tcPr>
          <w:p>
            <w:r>
              <w:rPr>
                <w:b/>
                <w:bCs/>
                <w:color w:val="FFFFFF"/>
                <w:sz w:val="20"/>
                <w:szCs w:val="20"/>
              </w:rPr>
              <w:t xml:space="preserve">Key Deliverables</w:t>
            </w:r>
          </w:p>
        </w:tc>
      </w:tr>
      <w:tr>
        <w:trPr>
          <w:tblHeader w:val="false"/>
        </w:trPr>
        <w:tc>
          <w:tcPr>
            <w:tcW w:type="dxa" w:w="2200"/>
            <w:shd w:fill="FFFFFF" w:val="clear"/>
            <w:tcMar>
              <w:top w:type="dxa" w:w="100"/>
              <w:left w:type="dxa" w:w="120"/>
              <w:bottom w:type="dxa" w:w="100"/>
              <w:right w:type="dxa" w:w="120"/>
            </w:tcMar>
          </w:tcPr>
          <w:p>
            <w:r>
              <w:rPr>
                <w:b w:val="false"/>
                <w:bCs w:val="false"/>
                <w:color w:val="111827"/>
                <w:sz w:val="20"/>
                <w:szCs w:val="20"/>
              </w:rPr>
              <w:t xml:space="preserve">0 — Foundation ✓ underway</w:t>
            </w:r>
          </w:p>
        </w:tc>
        <w:tc>
          <w:tcPr>
            <w:tcW w:type="dxa" w:w="1400"/>
            <w:shd w:fill="FFFFFF" w:val="clear"/>
            <w:tcMar>
              <w:top w:type="dxa" w:w="100"/>
              <w:left w:type="dxa" w:w="120"/>
              <w:bottom w:type="dxa" w:w="100"/>
              <w:right w:type="dxa" w:w="120"/>
            </w:tcMar>
          </w:tcPr>
          <w:p>
            <w:r>
              <w:rPr>
                <w:b w:val="false"/>
                <w:bCs w:val="false"/>
                <w:color w:val="111827"/>
                <w:sz w:val="20"/>
                <w:szCs w:val="20"/>
              </w:rPr>
              <w:t xml:space="preserve">Weeks 1–2</w:t>
            </w:r>
          </w:p>
        </w:tc>
        <w:tc>
          <w:tcPr>
            <w:tcW w:type="dxa" w:w="2400"/>
            <w:shd w:fill="FFFFFF" w:val="clear"/>
            <w:tcMar>
              <w:top w:type="dxa" w:w="100"/>
              <w:left w:type="dxa" w:w="120"/>
              <w:bottom w:type="dxa" w:w="100"/>
              <w:right w:type="dxa" w:w="120"/>
            </w:tcMar>
          </w:tcPr>
          <w:p>
            <w:r>
              <w:rPr>
                <w:b w:val="false"/>
                <w:bCs w:val="false"/>
                <w:color w:val="111827"/>
                <w:sz w:val="20"/>
                <w:szCs w:val="20"/>
              </w:rPr>
              <w:t xml:space="preserve">Infrastructure &amp; design system</w:t>
            </w:r>
          </w:p>
        </w:tc>
        <w:tc>
          <w:tcPr>
            <w:tcW w:type="dxa" w:w="3600"/>
            <w:shd w:fill="FFFFFF" w:val="clear"/>
            <w:tcMar>
              <w:top w:type="dxa" w:w="100"/>
              <w:left w:type="dxa" w:w="120"/>
              <w:bottom w:type="dxa" w:w="100"/>
              <w:right w:type="dxa" w:w="120"/>
            </w:tcMar>
          </w:tcPr>
          <w:p>
            <w:r>
              <w:rPr>
                <w:b w:val="false"/>
                <w:bCs w:val="false"/>
                <w:color w:val="111827"/>
                <w:sz w:val="20"/>
                <w:szCs w:val="20"/>
              </w:rPr>
              <w:t xml:space="preserve">Repo, design tokens, base layout, deploy pipeline built. Domain DNS + legal pages still pending.</w:t>
            </w:r>
          </w:p>
        </w:tc>
      </w:tr>
      <w:tr>
        <w:trPr>
          <w:tblHeader w:val="false"/>
        </w:trPr>
        <w:tc>
          <w:tcPr>
            <w:tcW w:type="dxa" w:w="2200"/>
            <w:shd w:fill="F1F5F9" w:val="clear"/>
            <w:tcMar>
              <w:top w:type="dxa" w:w="100"/>
              <w:left w:type="dxa" w:w="120"/>
              <w:bottom w:type="dxa" w:w="100"/>
              <w:right w:type="dxa" w:w="120"/>
            </w:tcMar>
          </w:tcPr>
          <w:p>
            <w:r>
              <w:rPr>
                <w:b w:val="false"/>
                <w:bCs w:val="false"/>
                <w:color w:val="111827"/>
                <w:sz w:val="20"/>
                <w:szCs w:val="20"/>
              </w:rPr>
              <w:t xml:space="preserve">1 — Core Launch ✓ underway</w:t>
            </w:r>
          </w:p>
        </w:tc>
        <w:tc>
          <w:tcPr>
            <w:tcW w:type="dxa" w:w="1400"/>
            <w:shd w:fill="F1F5F9" w:val="clear"/>
            <w:tcMar>
              <w:top w:type="dxa" w:w="100"/>
              <w:left w:type="dxa" w:w="120"/>
              <w:bottom w:type="dxa" w:w="100"/>
              <w:right w:type="dxa" w:w="120"/>
            </w:tcMar>
          </w:tcPr>
          <w:p>
            <w:r>
              <w:rPr>
                <w:b w:val="false"/>
                <w:bCs w:val="false"/>
                <w:color w:val="111827"/>
                <w:sz w:val="20"/>
                <w:szCs w:val="20"/>
              </w:rPr>
              <w:t xml:space="preserve">Weeks 3–5</w:t>
            </w:r>
          </w:p>
        </w:tc>
        <w:tc>
          <w:tcPr>
            <w:tcW w:type="dxa" w:w="2400"/>
            <w:shd w:fill="F1F5F9" w:val="clear"/>
            <w:tcMar>
              <w:top w:type="dxa" w:w="100"/>
              <w:left w:type="dxa" w:w="120"/>
              <w:bottom w:type="dxa" w:w="100"/>
              <w:right w:type="dxa" w:w="120"/>
            </w:tcMar>
          </w:tcPr>
          <w:p>
            <w:r>
              <w:rPr>
                <w:b w:val="false"/>
                <w:bCs w:val="false"/>
                <w:color w:val="111827"/>
                <w:sz w:val="20"/>
                <w:szCs w:val="20"/>
              </w:rPr>
              <w:t xml:space="preserve">Flagship homepage &amp; app showcase</w:t>
            </w:r>
          </w:p>
        </w:tc>
        <w:tc>
          <w:tcPr>
            <w:tcW w:type="dxa" w:w="3600"/>
            <w:shd w:fill="F1F5F9" w:val="clear"/>
            <w:tcMar>
              <w:top w:type="dxa" w:w="100"/>
              <w:left w:type="dxa" w:w="120"/>
              <w:bottom w:type="dxa" w:w="100"/>
              <w:right w:type="dxa" w:w="120"/>
            </w:tcMar>
          </w:tcPr>
          <w:p>
            <w:r>
              <w:rPr>
                <w:b w:val="false"/>
                <w:bCs w:val="false"/>
                <w:color w:val="111827"/>
                <w:sz w:val="20"/>
                <w:szCs w:val="20"/>
              </w:rPr>
              <w:t xml:space="preserve">Homepage, About the App, About Us shipped. Analytics + email capture still pending.</w:t>
            </w:r>
          </w:p>
        </w:tc>
      </w:tr>
      <w:tr>
        <w:trPr>
          <w:tblHeader w:val="false"/>
        </w:trPr>
        <w:tc>
          <w:tcPr>
            <w:tcW w:type="dxa" w:w="2200"/>
            <w:shd w:fill="FFFFFF" w:val="clear"/>
            <w:tcMar>
              <w:top w:type="dxa" w:w="100"/>
              <w:left w:type="dxa" w:w="120"/>
              <w:bottom w:type="dxa" w:w="100"/>
              <w:right w:type="dxa" w:w="120"/>
            </w:tcMar>
          </w:tcPr>
          <w:p>
            <w:r>
              <w:rPr>
                <w:b w:val="false"/>
                <w:bCs w:val="false"/>
                <w:color w:val="111827"/>
                <w:sz w:val="20"/>
                <w:szCs w:val="20"/>
              </w:rPr>
              <w:t xml:space="preserve">2 — Tools Suite v1 ✓ shipped</w:t>
            </w:r>
          </w:p>
        </w:tc>
        <w:tc>
          <w:tcPr>
            <w:tcW w:type="dxa" w:w="1400"/>
            <w:shd w:fill="FFFFFF" w:val="clear"/>
            <w:tcMar>
              <w:top w:type="dxa" w:w="100"/>
              <w:left w:type="dxa" w:w="120"/>
              <w:bottom w:type="dxa" w:w="100"/>
              <w:right w:type="dxa" w:w="120"/>
            </w:tcMar>
          </w:tcPr>
          <w:p>
            <w:r>
              <w:rPr>
                <w:b w:val="false"/>
                <w:bCs w:val="false"/>
                <w:color w:val="111827"/>
                <w:sz w:val="20"/>
                <w:szCs w:val="20"/>
              </w:rPr>
              <w:t xml:space="preserve">Weeks 6–8</w:t>
            </w:r>
          </w:p>
        </w:tc>
        <w:tc>
          <w:tcPr>
            <w:tcW w:type="dxa" w:w="2400"/>
            <w:shd w:fill="FFFFFF" w:val="clear"/>
            <w:tcMar>
              <w:top w:type="dxa" w:w="100"/>
              <w:left w:type="dxa" w:w="120"/>
              <w:bottom w:type="dxa" w:w="100"/>
              <w:right w:type="dxa" w:w="120"/>
            </w:tcMar>
          </w:tcPr>
          <w:p>
            <w:r>
              <w:rPr>
                <w:b w:val="false"/>
                <w:bCs w:val="false"/>
                <w:color w:val="111827"/>
                <w:sz w:val="20"/>
                <w:szCs w:val="20"/>
              </w:rPr>
              <w:t xml:space="preserve">First interactive calculators</w:t>
            </w:r>
          </w:p>
        </w:tc>
        <w:tc>
          <w:tcPr>
            <w:tcW w:type="dxa" w:w="3600"/>
            <w:shd w:fill="FFFFFF" w:val="clear"/>
            <w:tcMar>
              <w:top w:type="dxa" w:w="100"/>
              <w:left w:type="dxa" w:w="120"/>
              <w:bottom w:type="dxa" w:w="100"/>
              <w:right w:type="dxa" w:w="120"/>
            </w:tcMar>
          </w:tcPr>
          <w:p>
            <w:r>
              <w:rPr>
                <w:b w:val="false"/>
                <w:bCs w:val="false"/>
                <w:color w:val="111827"/>
                <w:sz w:val="20"/>
                <w:szCs w:val="20"/>
              </w:rPr>
              <w:t xml:space="preserve">BMI Calculator, Carb Calculator, A1C Converter, Diabetes Risk Quiz — all live.</w:t>
            </w:r>
          </w:p>
        </w:tc>
      </w:tr>
      <w:tr>
        <w:trPr>
          <w:tblHeader w:val="false"/>
        </w:trPr>
        <w:tc>
          <w:tcPr>
            <w:tcW w:type="dxa" w:w="2200"/>
            <w:shd w:fill="F1F5F9" w:val="clear"/>
            <w:tcMar>
              <w:top w:type="dxa" w:w="100"/>
              <w:left w:type="dxa" w:w="120"/>
              <w:bottom w:type="dxa" w:w="100"/>
              <w:right w:type="dxa" w:w="120"/>
            </w:tcMar>
          </w:tcPr>
          <w:p>
            <w:r>
              <w:rPr>
                <w:b w:val="false"/>
                <w:bCs w:val="false"/>
                <w:color w:val="111827"/>
                <w:sz w:val="20"/>
                <w:szCs w:val="20"/>
              </w:rPr>
              <w:t xml:space="preserve">3 — Info Hub ✓ shipped</w:t>
            </w:r>
          </w:p>
        </w:tc>
        <w:tc>
          <w:tcPr>
            <w:tcW w:type="dxa" w:w="1400"/>
            <w:shd w:fill="F1F5F9" w:val="clear"/>
            <w:tcMar>
              <w:top w:type="dxa" w:w="100"/>
              <w:left w:type="dxa" w:w="120"/>
              <w:bottom w:type="dxa" w:w="100"/>
              <w:right w:type="dxa" w:w="120"/>
            </w:tcMar>
          </w:tcPr>
          <w:p>
            <w:r>
              <w:rPr>
                <w:b w:val="false"/>
                <w:bCs w:val="false"/>
                <w:color w:val="111827"/>
                <w:sz w:val="20"/>
                <w:szCs w:val="20"/>
              </w:rPr>
              <w:t xml:space="preserve">Weeks 9–11</w:t>
            </w:r>
          </w:p>
        </w:tc>
        <w:tc>
          <w:tcPr>
            <w:tcW w:type="dxa" w:w="2400"/>
            <w:shd w:fill="F1F5F9" w:val="clear"/>
            <w:tcMar>
              <w:top w:type="dxa" w:w="100"/>
              <w:left w:type="dxa" w:w="120"/>
              <w:bottom w:type="dxa" w:w="100"/>
              <w:right w:type="dxa" w:w="120"/>
            </w:tcMar>
          </w:tcPr>
          <w:p>
            <w:r>
              <w:rPr>
                <w:b w:val="false"/>
                <w:bCs w:val="false"/>
                <w:color w:val="111827"/>
                <w:sz w:val="20"/>
                <w:szCs w:val="20"/>
              </w:rPr>
              <w:t xml:space="preserve">Evergreen educational content</w:t>
            </w:r>
          </w:p>
        </w:tc>
        <w:tc>
          <w:tcPr>
            <w:tcW w:type="dxa" w:w="3600"/>
            <w:shd w:fill="F1F5F9" w:val="clear"/>
            <w:tcMar>
              <w:top w:type="dxa" w:w="100"/>
              <w:left w:type="dxa" w:w="120"/>
              <w:bottom w:type="dxa" w:w="100"/>
              <w:right w:type="dxa" w:w="120"/>
            </w:tcMar>
          </w:tcPr>
          <w:p>
            <w:r>
              <w:rPr>
                <w:b w:val="false"/>
                <w:bCs w:val="false"/>
                <w:color w:val="111827"/>
                <w:sz w:val="20"/>
                <w:szCs w:val="20"/>
              </w:rPr>
              <w:t xml:space="preserve">5 cornerstone guides + searchable A–Z glossary — all live.</w:t>
            </w:r>
          </w:p>
        </w:tc>
      </w:tr>
      <w:tr>
        <w:trPr>
          <w:tblHeader w:val="false"/>
        </w:trPr>
        <w:tc>
          <w:tcPr>
            <w:tcW w:type="dxa" w:w="2200"/>
            <w:shd w:fill="FFFFFF" w:val="clear"/>
            <w:tcMar>
              <w:top w:type="dxa" w:w="100"/>
              <w:left w:type="dxa" w:w="120"/>
              <w:bottom w:type="dxa" w:w="100"/>
              <w:right w:type="dxa" w:w="120"/>
            </w:tcMar>
          </w:tcPr>
          <w:p>
            <w:r>
              <w:rPr>
                <w:b w:val="false"/>
                <w:bCs w:val="false"/>
                <w:color w:val="111827"/>
                <w:sz w:val="20"/>
                <w:szCs w:val="20"/>
              </w:rPr>
              <w:t xml:space="preserve">4 — Content Engine ✓ shipped</w:t>
            </w:r>
          </w:p>
        </w:tc>
        <w:tc>
          <w:tcPr>
            <w:tcW w:type="dxa" w:w="1400"/>
            <w:shd w:fill="FFFFFF" w:val="clear"/>
            <w:tcMar>
              <w:top w:type="dxa" w:w="100"/>
              <w:left w:type="dxa" w:w="120"/>
              <w:bottom w:type="dxa" w:w="100"/>
              <w:right w:type="dxa" w:w="120"/>
            </w:tcMar>
          </w:tcPr>
          <w:p>
            <w:r>
              <w:rPr>
                <w:b w:val="false"/>
                <w:bCs w:val="false"/>
                <w:color w:val="111827"/>
                <w:sz w:val="20"/>
                <w:szCs w:val="20"/>
              </w:rPr>
              <w:t xml:space="preserve">Weeks 12–14</w:t>
            </w:r>
          </w:p>
        </w:tc>
        <w:tc>
          <w:tcPr>
            <w:tcW w:type="dxa" w:w="2400"/>
            <w:shd w:fill="FFFFFF" w:val="clear"/>
            <w:tcMar>
              <w:top w:type="dxa" w:w="100"/>
              <w:left w:type="dxa" w:w="120"/>
              <w:bottom w:type="dxa" w:w="100"/>
              <w:right w:type="dxa" w:w="120"/>
            </w:tcMar>
          </w:tcPr>
          <w:p>
            <w:r>
              <w:rPr>
                <w:b w:val="false"/>
                <w:bCs w:val="false"/>
                <w:color w:val="111827"/>
                <w:sz w:val="20"/>
                <w:szCs w:val="20"/>
              </w:rPr>
              <w:t xml:space="preserve">Blog &amp; SEO growth</w:t>
            </w:r>
          </w:p>
        </w:tc>
        <w:tc>
          <w:tcPr>
            <w:tcW w:type="dxa" w:w="3600"/>
            <w:shd w:fill="FFFFFF" w:val="clear"/>
            <w:tcMar>
              <w:top w:type="dxa" w:w="100"/>
              <w:left w:type="dxa" w:w="120"/>
              <w:bottom w:type="dxa" w:w="100"/>
              <w:right w:type="dxa" w:w="120"/>
            </w:tcMar>
          </w:tcPr>
          <w:p>
            <w:r>
              <w:rPr>
                <w:b w:val="false"/>
                <w:bCs w:val="false"/>
                <w:color w:val="111827"/>
                <w:sz w:val="20"/>
                <w:szCs w:val="20"/>
              </w:rPr>
              <w:t xml:space="preserve">Supabase-backed blog + admin editor, login (admin/editor roles), contact form — live pending owner keys.</w:t>
            </w:r>
          </w:p>
        </w:tc>
      </w:tr>
      <w:tr>
        <w:trPr>
          <w:tblHeader w:val="false"/>
        </w:trPr>
        <w:tc>
          <w:tcPr>
            <w:tcW w:type="dxa" w:w="2200"/>
            <w:shd w:fill="F1F5F9" w:val="clear"/>
            <w:tcMar>
              <w:top w:type="dxa" w:w="100"/>
              <w:left w:type="dxa" w:w="120"/>
              <w:bottom w:type="dxa" w:w="100"/>
              <w:right w:type="dxa" w:w="120"/>
            </w:tcMar>
          </w:tcPr>
          <w:p>
            <w:r>
              <w:rPr>
                <w:b w:val="false"/>
                <w:bCs w:val="false"/>
                <w:color w:val="111827"/>
                <w:sz w:val="20"/>
                <w:szCs w:val="20"/>
              </w:rPr>
              <w:t xml:space="preserve">5 — Community ✓ shipped</w:t>
            </w:r>
          </w:p>
        </w:tc>
        <w:tc>
          <w:tcPr>
            <w:tcW w:type="dxa" w:w="1400"/>
            <w:shd w:fill="F1F5F9" w:val="clear"/>
            <w:tcMar>
              <w:top w:type="dxa" w:w="100"/>
              <w:left w:type="dxa" w:w="120"/>
              <w:bottom w:type="dxa" w:w="100"/>
              <w:right w:type="dxa" w:w="120"/>
            </w:tcMar>
          </w:tcPr>
          <w:p>
            <w:r>
              <w:rPr>
                <w:b w:val="false"/>
                <w:bCs w:val="false"/>
                <w:color w:val="111827"/>
                <w:sz w:val="20"/>
                <w:szCs w:val="20"/>
              </w:rPr>
              <w:t xml:space="preserve">Weeks 15–18</w:t>
            </w:r>
          </w:p>
        </w:tc>
        <w:tc>
          <w:tcPr>
            <w:tcW w:type="dxa" w:w="2400"/>
            <w:shd w:fill="F1F5F9" w:val="clear"/>
            <w:tcMar>
              <w:top w:type="dxa" w:w="100"/>
              <w:left w:type="dxa" w:w="120"/>
              <w:bottom w:type="dxa" w:w="100"/>
              <w:right w:type="dxa" w:w="120"/>
            </w:tcMar>
          </w:tcPr>
          <w:p>
            <w:r>
              <w:rPr>
                <w:b w:val="false"/>
                <w:bCs w:val="false"/>
                <w:color w:val="111827"/>
                <w:sz w:val="20"/>
                <w:szCs w:val="20"/>
              </w:rPr>
              <w:t xml:space="preserve">Engagement &amp; retention</w:t>
            </w:r>
          </w:p>
        </w:tc>
        <w:tc>
          <w:tcPr>
            <w:tcW w:type="dxa" w:w="3600"/>
            <w:shd w:fill="F1F5F9" w:val="clear"/>
            <w:tcMar>
              <w:top w:type="dxa" w:w="100"/>
              <w:left w:type="dxa" w:w="120"/>
              <w:bottom w:type="dxa" w:w="100"/>
              <w:right w:type="dxa" w:w="120"/>
            </w:tcMar>
          </w:tcPr>
          <w:p>
            <w:r>
              <w:rPr>
                <w:b w:val="false"/>
                <w:bCs w:val="false"/>
                <w:color w:val="111827"/>
                <w:sz w:val="20"/>
                <w:szCs w:val="20"/>
              </w:rPr>
              <w:t xml:space="preserve">Cuisine voting, feature-request board, testimonials wall — live pending schema run. Real photography added site-wide.</w:t>
            </w:r>
          </w:p>
        </w:tc>
      </w:tr>
      <w:tr>
        <w:trPr>
          <w:tblHeader w:val="false"/>
        </w:trPr>
        <w:tc>
          <w:tcPr>
            <w:tcW w:type="dxa" w:w="2200"/>
            <w:shd w:fill="FFFFFF" w:val="clear"/>
            <w:tcMar>
              <w:top w:type="dxa" w:w="100"/>
              <w:left w:type="dxa" w:w="120"/>
              <w:bottom w:type="dxa" w:w="100"/>
              <w:right w:type="dxa" w:w="120"/>
            </w:tcMar>
          </w:tcPr>
          <w:p>
            <w:r>
              <w:rPr>
                <w:b w:val="false"/>
                <w:bCs w:val="false"/>
                <w:color w:val="111827"/>
                <w:sz w:val="20"/>
                <w:szCs w:val="20"/>
              </w:rPr>
              <w:t xml:space="preserve">6 — Advanced Tools ✓ shipped</w:t>
            </w:r>
          </w:p>
        </w:tc>
        <w:tc>
          <w:tcPr>
            <w:tcW w:type="dxa" w:w="1400"/>
            <w:shd w:fill="FFFFFF" w:val="clear"/>
            <w:tcMar>
              <w:top w:type="dxa" w:w="100"/>
              <w:left w:type="dxa" w:w="120"/>
              <w:bottom w:type="dxa" w:w="100"/>
              <w:right w:type="dxa" w:w="120"/>
            </w:tcMar>
          </w:tcPr>
          <w:p>
            <w:r>
              <w:rPr>
                <w:b w:val="false"/>
                <w:bCs w:val="false"/>
                <w:color w:val="111827"/>
                <w:sz w:val="20"/>
                <w:szCs w:val="20"/>
              </w:rPr>
              <w:t xml:space="preserve">Weeks 19–24</w:t>
            </w:r>
          </w:p>
        </w:tc>
        <w:tc>
          <w:tcPr>
            <w:tcW w:type="dxa" w:w="2400"/>
            <w:shd w:fill="FFFFFF" w:val="clear"/>
            <w:tcMar>
              <w:top w:type="dxa" w:w="100"/>
              <w:left w:type="dxa" w:w="120"/>
              <w:bottom w:type="dxa" w:w="100"/>
              <w:right w:type="dxa" w:w="120"/>
            </w:tcMar>
          </w:tcPr>
          <w:p>
            <w:r>
              <w:rPr>
                <w:b w:val="false"/>
                <w:bCs w:val="false"/>
                <w:color w:val="111827"/>
                <w:sz w:val="20"/>
                <w:szCs w:val="20"/>
              </w:rPr>
              <w:t xml:space="preserve">Deep reference utilities</w:t>
            </w:r>
          </w:p>
        </w:tc>
        <w:tc>
          <w:tcPr>
            <w:tcW w:type="dxa" w:w="3600"/>
            <w:shd w:fill="FFFFFF" w:val="clear"/>
            <w:tcMar>
              <w:top w:type="dxa" w:w="100"/>
              <w:left w:type="dxa" w:w="120"/>
              <w:bottom w:type="dxa" w:w="100"/>
              <w:right w:type="dxa" w:w="120"/>
            </w:tcMar>
          </w:tcPr>
          <w:p>
            <w:r>
              <w:rPr>
                <w:b w:val="false"/>
                <w:bCs w:val="false"/>
                <w:color w:val="111827"/>
                <w:sz w:val="20"/>
                <w:szCs w:val="20"/>
              </w:rPr>
              <w:t xml:space="preserve">Glycemic index/load, insulin ratio, hydration, emergency guide — live. Plus 4 built-in diabetes blog posts.</w:t>
            </w:r>
          </w:p>
        </w:tc>
      </w:tr>
      <w:tr>
        <w:trPr>
          <w:tblHeader w:val="false"/>
        </w:trPr>
        <w:tc>
          <w:tcPr>
            <w:tcW w:type="dxa" w:w="2200"/>
            <w:shd w:fill="F1F5F9" w:val="clear"/>
            <w:tcMar>
              <w:top w:type="dxa" w:w="100"/>
              <w:left w:type="dxa" w:w="120"/>
              <w:bottom w:type="dxa" w:w="100"/>
              <w:right w:type="dxa" w:w="120"/>
            </w:tcMar>
          </w:tcPr>
          <w:p>
            <w:r>
              <w:rPr>
                <w:b w:val="false"/>
                <w:bCs w:val="false"/>
                <w:color w:val="111827"/>
                <w:sz w:val="20"/>
                <w:szCs w:val="20"/>
              </w:rPr>
              <w:t xml:space="preserve">7 — Scale &amp; Authority ✓ shipped</w:t>
            </w:r>
          </w:p>
        </w:tc>
        <w:tc>
          <w:tcPr>
            <w:tcW w:type="dxa" w:w="1400"/>
            <w:shd w:fill="F1F5F9" w:val="clear"/>
            <w:tcMar>
              <w:top w:type="dxa" w:w="100"/>
              <w:left w:type="dxa" w:w="120"/>
              <w:bottom w:type="dxa" w:w="100"/>
              <w:right w:type="dxa" w:w="120"/>
            </w:tcMar>
          </w:tcPr>
          <w:p>
            <w:r>
              <w:rPr>
                <w:b w:val="false"/>
                <w:bCs w:val="false"/>
                <w:color w:val="111827"/>
                <w:sz w:val="20"/>
                <w:szCs w:val="20"/>
              </w:rPr>
              <w:t xml:space="preserve">Month 6–12+</w:t>
            </w:r>
          </w:p>
        </w:tc>
        <w:tc>
          <w:tcPr>
            <w:tcW w:type="dxa" w:w="2400"/>
            <w:shd w:fill="F1F5F9" w:val="clear"/>
            <w:tcMar>
              <w:top w:type="dxa" w:w="100"/>
              <w:left w:type="dxa" w:w="120"/>
              <w:bottom w:type="dxa" w:w="100"/>
              <w:right w:type="dxa" w:w="120"/>
            </w:tcMar>
          </w:tcPr>
          <w:p>
            <w:r>
              <w:rPr>
                <w:b w:val="false"/>
                <w:bCs w:val="false"/>
                <w:color w:val="111827"/>
                <w:sz w:val="20"/>
                <w:szCs w:val="20"/>
              </w:rPr>
              <w:t xml:space="preserve">Credibility &amp; reach</w:t>
            </w:r>
          </w:p>
        </w:tc>
        <w:tc>
          <w:tcPr>
            <w:tcW w:type="dxa" w:w="3600"/>
            <w:shd w:fill="F1F5F9" w:val="clear"/>
            <w:tcMar>
              <w:top w:type="dxa" w:w="100"/>
              <w:left w:type="dxa" w:w="120"/>
              <w:bottom w:type="dxa" w:w="100"/>
              <w:right w:type="dxa" w:w="120"/>
            </w:tcMar>
          </w:tcPr>
          <w:p>
            <w:r>
              <w:rPr>
                <w:b w:val="false"/>
                <w:bCs w:val="false"/>
                <w:color w:val="111827"/>
                <w:sz w:val="20"/>
                <w:szCs w:val="20"/>
              </w:rPr>
              <w:t xml:space="preserve">SEO (meta tags, sitemap, robots), newsletter, testimonial admin, AI assistant — all live pending owner setup.</w:t>
            </w:r>
          </w:p>
        </w:tc>
      </w:tr>
    </w:tbl>
    <w:p>
      <w:pPr>
        <w:spacing w:after="200"/>
      </w:pPr>
    </w:p>
    <w:p>
      <w:pPr>
        <w:pStyle w:val="Heading2"/>
        <w:spacing w:after="150" w:before="300"/>
      </w:pPr>
      <w:r>
        <w:t xml:space="preserve">Phase 0 — Foundation (Weeks 1–2)</w:t>
      </w:r>
    </w:p>
    <w:p>
      <w:pPr>
        <w:spacing w:after="160"/>
      </w:pPr>
      <w:r>
        <w:rPr>
          <w:sz w:val="22"/>
          <w:szCs w:val="22"/>
        </w:rPr>
        <w:t xml:space="preserve">Goal: the domain is live, technically sound, and every future page has a consistent design system to pull from.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Hosting &amp; domain setup</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Point myhealthyglucose.com to chosen host; decide GitHub Pages vs. Vercel/Netlify for blog/CMS flexibility; set up 301 redirects from the old datasparktech.com subdomain.</w:t>
            </w:r>
          </w:p>
        </w:tc>
      </w:tr>
      <w:tr>
        <w:tc>
          <w:tcPr>
            <w:tcW w:type="dxa" w:w="3200"/>
            <w:shd w:fill="FFFFFF" w:val="clear"/>
            <w:tcMar>
              <w:top w:type="dxa" w:w="100"/>
              <w:left w:type="dxa" w:w="120"/>
              <w:bottom w:type="dxa" w:w="100"/>
              <w:right w:type="dxa" w:w="120"/>
            </w:tcMar>
          </w:tcPr>
          <w:p>
            <w:r>
              <w:rPr>
                <w:b/>
                <w:bCs/>
                <w:color w:val="111827"/>
                <w:sz w:val="20"/>
                <w:szCs w:val="20"/>
              </w:rPr>
              <w:t xml:space="preserve">Tech stack scaffold</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Static-site framework (Next.js static export / Astro) so calculators can be client-side JS and blog can be markdown-driven.</w:t>
            </w:r>
          </w:p>
        </w:tc>
      </w:tr>
      <w:tr>
        <w:tc>
          <w:tcPr>
            <w:tcW w:type="dxa" w:w="3200"/>
            <w:shd w:fill="F8FAFC" w:val="clear"/>
            <w:tcMar>
              <w:top w:type="dxa" w:w="100"/>
              <w:left w:type="dxa" w:w="120"/>
              <w:bottom w:type="dxa" w:w="100"/>
              <w:right w:type="dxa" w:w="120"/>
            </w:tcMar>
          </w:tcPr>
          <w:p>
            <w:r>
              <w:rPr>
                <w:b/>
                <w:bCs/>
                <w:color w:val="111827"/>
                <w:sz w:val="20"/>
                <w:szCs w:val="20"/>
              </w:rPr>
              <w:t xml:space="preserve">Design system</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Color tokens, gradient/glow components, type scale, spacing, glass-card component, button/CTA styles — documented, not just implemented.</w:t>
            </w:r>
          </w:p>
        </w:tc>
      </w:tr>
      <w:tr>
        <w:tc>
          <w:tcPr>
            <w:tcW w:type="dxa" w:w="3200"/>
            <w:shd w:fill="FFFFFF" w:val="clear"/>
            <w:tcMar>
              <w:top w:type="dxa" w:w="100"/>
              <w:left w:type="dxa" w:w="120"/>
              <w:bottom w:type="dxa" w:w="100"/>
              <w:right w:type="dxa" w:w="120"/>
            </w:tcMar>
          </w:tcPr>
          <w:p>
            <w:r>
              <w:rPr>
                <w:b/>
                <w:bCs/>
                <w:color w:val="111827"/>
                <w:sz w:val="20"/>
                <w:szCs w:val="20"/>
              </w:rPr>
              <w:t xml:space="preserve">Base layout</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Header nav, footer, mobile menu, dark-mode canvas applied globally.</w:t>
            </w:r>
          </w:p>
        </w:tc>
      </w:tr>
      <w:tr>
        <w:tc>
          <w:tcPr>
            <w:tcW w:type="dxa" w:w="3200"/>
            <w:shd w:fill="F8FAFC" w:val="clear"/>
            <w:tcMar>
              <w:top w:type="dxa" w:w="100"/>
              <w:left w:type="dxa" w:w="120"/>
              <w:bottom w:type="dxa" w:w="100"/>
              <w:right w:type="dxa" w:w="120"/>
            </w:tcMar>
          </w:tcPr>
          <w:p>
            <w:r>
              <w:rPr>
                <w:b/>
                <w:bCs/>
                <w:color w:val="111827"/>
                <w:sz w:val="20"/>
                <w:szCs w:val="20"/>
              </w:rPr>
              <w:t xml:space="preserve">Legal pages migrated</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Privacy Policy, Terms — carried over and updated for the new domain.</w:t>
            </w:r>
          </w:p>
        </w:tc>
      </w:tr>
      <w:tr>
        <w:tc>
          <w:tcPr>
            <w:tcW w:type="dxa" w:w="3200"/>
            <w:shd w:fill="FFFFFF" w:val="clear"/>
            <w:tcMar>
              <w:top w:type="dxa" w:w="100"/>
              <w:left w:type="dxa" w:w="120"/>
              <w:bottom w:type="dxa" w:w="100"/>
              <w:right w:type="dxa" w:w="120"/>
            </w:tcMar>
          </w:tcPr>
          <w:p>
            <w:r>
              <w:rPr>
                <w:b/>
                <w:bCs/>
                <w:color w:val="111827"/>
                <w:sz w:val="20"/>
                <w:szCs w:val="20"/>
              </w:rPr>
              <w:t xml:space="preserve">Analytics &amp; SEO baseline</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Google Analytics / Search Console, sitemap.xml, robots.txt, basic schema.org markup plan.</w:t>
            </w:r>
          </w:p>
        </w:tc>
      </w:tr>
    </w:tbl>
    <w:p>
      <w:pPr>
        <w:pStyle w:val="Heading2"/>
        <w:spacing w:after="150" w:before="300"/>
      </w:pPr>
      <w:r>
        <w:t xml:space="preserve">Phase 1 — Core Launch (Weeks 3–5)</w:t>
      </w:r>
    </w:p>
    <w:p>
      <w:pPr>
        <w:spacing w:after="160"/>
      </w:pPr>
      <w:r>
        <w:rPr>
          <w:sz w:val="22"/>
          <w:szCs w:val="22"/>
        </w:rPr>
        <w:t xml:space="preserve">Goal: myhealthyglucose.com is publicly presentable — a visitor understands the app, trusts the brand, and can download it in one tap.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Homepage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Futuristic hero (per Section 2), pillars overview (Glucose · HbA1c · BP · Meds), animated stat counters, social proof, Play Store CTA.</w:t>
            </w:r>
          </w:p>
        </w:tc>
      </w:tr>
      <w:tr>
        <w:tc>
          <w:tcPr>
            <w:tcW w:type="dxa" w:w="3200"/>
            <w:shd w:fill="FFFFFF" w:val="clear"/>
            <w:tcMar>
              <w:top w:type="dxa" w:w="100"/>
              <w:left w:type="dxa" w:w="120"/>
              <w:bottom w:type="dxa" w:w="100"/>
              <w:right w:type="dxa" w:w="120"/>
            </w:tcMar>
          </w:tcPr>
          <w:p>
            <w:r>
              <w:rPr>
                <w:b/>
                <w:bCs/>
                <w:color w:val="111827"/>
                <w:sz w:val="20"/>
                <w:szCs w:val="20"/>
              </w:rPr>
              <w:t xml:space="preserve">About the App page</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This is the page carrying over your current site's content — features, pricing tiers, screenshots, release notes, Play Store link — polished into the new design system.</w:t>
            </w:r>
          </w:p>
        </w:tc>
      </w:tr>
      <w:tr>
        <w:tc>
          <w:tcPr>
            <w:tcW w:type="dxa" w:w="3200"/>
            <w:shd w:fill="F8FAFC" w:val="clear"/>
            <w:tcMar>
              <w:top w:type="dxa" w:w="100"/>
              <w:left w:type="dxa" w:w="120"/>
              <w:bottom w:type="dxa" w:w="100"/>
              <w:right w:type="dxa" w:w="120"/>
            </w:tcMar>
          </w:tcPr>
          <w:p>
            <w:r>
              <w:rPr>
                <w:b/>
                <w:bCs/>
                <w:color w:val="111827"/>
                <w:sz w:val="20"/>
                <w:szCs w:val="20"/>
              </w:rPr>
              <w:t xml:space="preserve">About Us / Our Story</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The "why we're building this" narrative — repositioned for the new site.</w:t>
            </w:r>
          </w:p>
        </w:tc>
      </w:tr>
      <w:tr>
        <w:tc>
          <w:tcPr>
            <w:tcW w:type="dxa" w:w="3200"/>
            <w:shd w:fill="FFFFFF" w:val="clear"/>
            <w:tcMar>
              <w:top w:type="dxa" w:w="100"/>
              <w:left w:type="dxa" w:w="120"/>
              <w:bottom w:type="dxa" w:w="100"/>
              <w:right w:type="dxa" w:w="120"/>
            </w:tcMar>
          </w:tcPr>
          <w:p>
            <w:r>
              <w:rPr>
                <w:b/>
                <w:bCs/>
                <w:color w:val="111827"/>
                <w:sz w:val="20"/>
                <w:szCs w:val="20"/>
              </w:rPr>
              <w:t xml:space="preserve">Email capture</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Newsletter signup embedded in footer + at least one mid-page CTA.</w:t>
            </w:r>
          </w:p>
        </w:tc>
      </w:tr>
      <w:tr>
        <w:tc>
          <w:tcPr>
            <w:tcW w:type="dxa" w:w="3200"/>
            <w:shd w:fill="F8FAFC" w:val="clear"/>
            <w:tcMar>
              <w:top w:type="dxa" w:w="100"/>
              <w:left w:type="dxa" w:w="120"/>
              <w:bottom w:type="dxa" w:w="100"/>
              <w:right w:type="dxa" w:w="120"/>
            </w:tcMar>
          </w:tcPr>
          <w:p>
            <w:r>
              <w:rPr>
                <w:b/>
                <w:bCs/>
                <w:color w:val="111827"/>
                <w:sz w:val="20"/>
                <w:szCs w:val="20"/>
              </w:rPr>
              <w:t xml:space="preserve">Analytics validation</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Confirm tracking, set up conversion goals (Play Store clicks, email signups).</w:t>
            </w:r>
          </w:p>
        </w:tc>
      </w:tr>
    </w:tbl>
    <w:p>
      <w:pPr>
        <w:pStyle w:val="Heading2"/>
        <w:spacing w:after="150" w:before="300"/>
      </w:pPr>
      <w:r>
        <w:t xml:space="preserve">Phase 2 — Tools Suite v1 (Weeks 6–8)</w:t>
      </w:r>
    </w:p>
    <w:p>
      <w:pPr>
        <w:spacing w:after="160"/>
      </w:pPr>
      <w:r>
        <w:rPr>
          <w:sz w:val="22"/>
          <w:szCs w:val="22"/>
        </w:rPr>
        <w:t xml:space="preserve">Goal: launch the first calculators — these are the pages most likely to be found via Google search from people who've never heard of the app.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BMI Calculator</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Standard input + diabetes-risk context messaging, mobile-first, no login.</w:t>
            </w:r>
          </w:p>
        </w:tc>
      </w:tr>
      <w:tr>
        <w:tc>
          <w:tcPr>
            <w:tcW w:type="dxa" w:w="3200"/>
            <w:shd w:fill="FFFFFF" w:val="clear"/>
            <w:tcMar>
              <w:top w:type="dxa" w:w="100"/>
              <w:left w:type="dxa" w:w="120"/>
              <w:bottom w:type="dxa" w:w="100"/>
              <w:right w:type="dxa" w:w="120"/>
            </w:tcMar>
          </w:tcPr>
          <w:p>
            <w:r>
              <w:rPr>
                <w:b/>
                <w:bCs/>
                <w:color w:val="111827"/>
                <w:sz w:val="20"/>
                <w:szCs w:val="20"/>
              </w:rPr>
              <w:t xml:space="preserve">Carb Calculator</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Search-based, drawing on the same dish-database concept as the app (Indian regional first, matching the app's current strength).</w:t>
            </w:r>
          </w:p>
        </w:tc>
      </w:tr>
      <w:tr>
        <w:tc>
          <w:tcPr>
            <w:tcW w:type="dxa" w:w="3200"/>
            <w:shd w:fill="F8FAFC" w:val="clear"/>
            <w:tcMar>
              <w:top w:type="dxa" w:w="100"/>
              <w:left w:type="dxa" w:w="120"/>
              <w:bottom w:type="dxa" w:w="100"/>
              <w:right w:type="dxa" w:w="120"/>
            </w:tcMar>
          </w:tcPr>
          <w:p>
            <w:r>
              <w:rPr>
                <w:b/>
                <w:bCs/>
                <w:color w:val="111827"/>
                <w:sz w:val="20"/>
                <w:szCs w:val="20"/>
              </w:rPr>
              <w:t xml:space="preserve">A1C ↔ Average Glucose Converter</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Simple, fast, high search-volume tool.</w:t>
            </w:r>
          </w:p>
        </w:tc>
      </w:tr>
      <w:tr>
        <w:tc>
          <w:tcPr>
            <w:tcW w:type="dxa" w:w="3200"/>
            <w:shd w:fill="FFFFFF" w:val="clear"/>
            <w:tcMar>
              <w:top w:type="dxa" w:w="100"/>
              <w:left w:type="dxa" w:w="120"/>
              <w:bottom w:type="dxa" w:w="100"/>
              <w:right w:type="dxa" w:w="120"/>
            </w:tcMar>
          </w:tcPr>
          <w:p>
            <w:r>
              <w:rPr>
                <w:b/>
                <w:bCs/>
                <w:color w:val="111827"/>
                <w:sz w:val="20"/>
                <w:szCs w:val="20"/>
              </w:rPr>
              <w:t xml:space="preserve">Diabetes Risk Score Quiz</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Short interactive quiz (age, weight, family history, etc.) with a results screen that soft-CTAs into the app.</w:t>
            </w:r>
          </w:p>
        </w:tc>
      </w:tr>
      <w:tr>
        <w:tc>
          <w:tcPr>
            <w:tcW w:type="dxa" w:w="3200"/>
            <w:shd w:fill="F8FAFC" w:val="clear"/>
            <w:tcMar>
              <w:top w:type="dxa" w:w="100"/>
              <w:left w:type="dxa" w:w="120"/>
              <w:bottom w:type="dxa" w:w="100"/>
              <w:right w:type="dxa" w:w="120"/>
            </w:tcMar>
          </w:tcPr>
          <w:p>
            <w:r>
              <w:rPr>
                <w:b/>
                <w:bCs/>
                <w:color w:val="111827"/>
                <w:sz w:val="20"/>
                <w:szCs w:val="20"/>
              </w:rPr>
              <w:t xml:space="preserve">Tools landing 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A hub page listing all tools with icons/cards, so search engines and users can browse the full set.</w:t>
            </w:r>
          </w:p>
        </w:tc>
      </w:tr>
    </w:tbl>
    <w:p>
      <w:pPr>
        <w:pStyle w:val="Heading2"/>
        <w:spacing w:after="150" w:before="300"/>
      </w:pPr>
      <w:r>
        <w:t xml:space="preserve">Phase 3 — Diabetes Info Hub (Weeks 9–11)</w:t>
      </w:r>
    </w:p>
    <w:p>
      <w:pPr>
        <w:spacing w:after="160"/>
      </w:pPr>
      <w:r>
        <w:rPr>
          <w:sz w:val="22"/>
          <w:szCs w:val="22"/>
        </w:rPr>
        <w:t xml:space="preserve">Goal: build topical authority — the evergreen content Google rewards long-term, and the content most likely to earn backlinks.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Cornerstone guides (8–10)</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Type 1 vs Type 2 vs Gestational vs Prediabetes; Understanding HbA1c &amp; Time-in-Range; Hypo vs Hyper emergency guide; Insulin types explained; Diabetes &amp; exercise; Diabetes distress / mental health; Complications early-warning guide; Newly-diagnosed starter checklist.</w:t>
            </w:r>
          </w:p>
        </w:tc>
      </w:tr>
      <w:tr>
        <w:tc>
          <w:tcPr>
            <w:tcW w:type="dxa" w:w="3200"/>
            <w:shd w:fill="FFFFFF" w:val="clear"/>
            <w:tcMar>
              <w:top w:type="dxa" w:w="100"/>
              <w:left w:type="dxa" w:w="120"/>
              <w:bottom w:type="dxa" w:w="100"/>
              <w:right w:type="dxa" w:w="120"/>
            </w:tcMar>
          </w:tcPr>
          <w:p>
            <w:r>
              <w:rPr>
                <w:b/>
                <w:bCs/>
                <w:color w:val="111827"/>
                <w:sz w:val="20"/>
                <w:szCs w:val="20"/>
              </w:rPr>
              <w:t xml:space="preserve">Cuisine-based diet guides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Diabetic diet basics by region (Indian, Filipino, Mexican, Middle Eastern...) — directly reinforces the app's core differentiator.</w:t>
            </w:r>
          </w:p>
        </w:tc>
      </w:tr>
      <w:tr>
        <w:tc>
          <w:tcPr>
            <w:tcW w:type="dxa" w:w="3200"/>
            <w:shd w:fill="F8FAFC" w:val="clear"/>
            <w:tcMar>
              <w:top w:type="dxa" w:w="100"/>
              <w:left w:type="dxa" w:w="120"/>
              <w:bottom w:type="dxa" w:w="100"/>
              <w:right w:type="dxa" w:w="120"/>
            </w:tcMar>
          </w:tcPr>
          <w:p>
            <w:r>
              <w:rPr>
                <w:b/>
                <w:bCs/>
                <w:color w:val="111827"/>
                <w:sz w:val="20"/>
                <w:szCs w:val="20"/>
              </w:rPr>
              <w:t xml:space="preserve">Diabetes Glossary (A–Z)</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Standalone reference page, strong for long-tail SEO and accessibility.</w:t>
            </w:r>
          </w:p>
        </w:tc>
      </w:tr>
      <w:tr>
        <w:tc>
          <w:tcPr>
            <w:tcW w:type="dxa" w:w="3200"/>
            <w:shd w:fill="FFFFFF" w:val="clear"/>
            <w:tcMar>
              <w:top w:type="dxa" w:w="100"/>
              <w:left w:type="dxa" w:w="120"/>
              <w:bottom w:type="dxa" w:w="100"/>
              <w:right w:type="dxa" w:w="120"/>
            </w:tcMar>
          </w:tcPr>
          <w:p>
            <w:r>
              <w:rPr>
                <w:b/>
                <w:bCs/>
                <w:color w:val="111827"/>
                <w:sz w:val="20"/>
                <w:szCs w:val="20"/>
              </w:rPr>
              <w:t xml:space="preserve">Internal linking pass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Every guide links to the relevant calculator and to the app's matching feature (e.g. Travel guide → app's Travel Mode).</w:t>
            </w:r>
          </w:p>
        </w:tc>
      </w:tr>
    </w:tbl>
    <w:p>
      <w:pPr>
        <w:pStyle w:val="Heading2"/>
        <w:spacing w:after="150" w:before="300"/>
      </w:pPr>
      <w:r>
        <w:t xml:space="preserve">Phase 4 — Content Engine (Weeks 12–14)</w:t>
      </w:r>
    </w:p>
    <w:p>
      <w:pPr>
        <w:spacing w:after="160"/>
      </w:pPr>
      <w:r>
        <w:rPr>
          <w:sz w:val="22"/>
          <w:szCs w:val="22"/>
        </w:rPr>
        <w:t xml:space="preserve">Goal: turn the site into a living publication, not a static brochure.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Blog infrastructure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Markdown-driven blog with categories/tags, author bio, share buttons.</w:t>
            </w:r>
          </w:p>
        </w:tc>
      </w:tr>
      <w:tr>
        <w:tc>
          <w:tcPr>
            <w:tcW w:type="dxa" w:w="3200"/>
            <w:shd w:fill="FFFFFF" w:val="clear"/>
            <w:tcMar>
              <w:top w:type="dxa" w:w="100"/>
              <w:left w:type="dxa" w:w="120"/>
              <w:bottom w:type="dxa" w:w="100"/>
              <w:right w:type="dxa" w:w="120"/>
            </w:tcMar>
          </w:tcPr>
          <w:p>
            <w:r>
              <w:rPr>
                <w:b/>
                <w:bCs/>
                <w:color w:val="111827"/>
                <w:sz w:val="20"/>
                <w:szCs w:val="20"/>
              </w:rPr>
              <w:t xml:space="preserve">Launch content (5–8 posts)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Recipe carb breakdowns by cuisine, myth-busting series, app update announcements, one patient-story-style post.</w:t>
            </w:r>
          </w:p>
        </w:tc>
      </w:tr>
      <w:tr>
        <w:tc>
          <w:tcPr>
            <w:tcW w:type="dxa" w:w="3200"/>
            <w:shd w:fill="F8FAFC" w:val="clear"/>
            <w:tcMar>
              <w:top w:type="dxa" w:w="100"/>
              <w:left w:type="dxa" w:w="120"/>
              <w:bottom w:type="dxa" w:w="100"/>
              <w:right w:type="dxa" w:w="120"/>
            </w:tcMar>
          </w:tcPr>
          <w:p>
            <w:r>
              <w:rPr>
                <w:b/>
                <w:bCs/>
                <w:color w:val="111827"/>
                <w:sz w:val="20"/>
                <w:szCs w:val="20"/>
              </w:rPr>
              <w:t xml:space="preserve">Newsletter automation</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Welcome sequence nurturing subscribers toward the app download.</w:t>
            </w:r>
          </w:p>
        </w:tc>
      </w:tr>
      <w:tr>
        <w:tc>
          <w:tcPr>
            <w:tcW w:type="dxa" w:w="3200"/>
            <w:shd w:fill="FFFFFF" w:val="clear"/>
            <w:tcMar>
              <w:top w:type="dxa" w:w="100"/>
              <w:left w:type="dxa" w:w="120"/>
              <w:bottom w:type="dxa" w:w="100"/>
              <w:right w:type="dxa" w:w="120"/>
            </w:tcMar>
          </w:tcPr>
          <w:p>
            <w:r>
              <w:rPr>
                <w:b/>
                <w:bCs/>
                <w:color w:val="111827"/>
                <w:sz w:val="20"/>
                <w:szCs w:val="20"/>
              </w:rPr>
              <w:t xml:space="preserve">Editorial calendar</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A simple recurring cadence (e.g. 2 posts/month) so the blog doesn't stall after launch.</w:t>
            </w:r>
          </w:p>
        </w:tc>
      </w:tr>
    </w:tbl>
    <w:p>
      <w:pPr>
        <w:pStyle w:val="Heading2"/>
        <w:spacing w:after="150" w:before="300"/>
      </w:pPr>
      <w:r>
        <w:t xml:space="preserve">Phase 5 — Community &amp; Growth (Weeks 15–18)</w:t>
      </w:r>
    </w:p>
    <w:p>
      <w:pPr>
        <w:spacing w:after="160"/>
      </w:pPr>
      <w:r>
        <w:rPr>
          <w:sz w:val="22"/>
          <w:szCs w:val="22"/>
        </w:rPr>
        <w:t xml:space="preserve">Goal: give visitors a reason to participate, not just read — engagement signals also help SEO.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Cuisine voting</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Carried over and improved from the current site — visible community input into the next cuisine the app supports.</w:t>
            </w:r>
          </w:p>
        </w:tc>
      </w:tr>
      <w:tr>
        <w:tc>
          <w:tcPr>
            <w:tcW w:type="dxa" w:w="3200"/>
            <w:shd w:fill="FFFFFF" w:val="clear"/>
            <w:tcMar>
              <w:top w:type="dxa" w:w="100"/>
              <w:left w:type="dxa" w:w="120"/>
              <w:bottom w:type="dxa" w:w="100"/>
              <w:right w:type="dxa" w:w="120"/>
            </w:tcMar>
          </w:tcPr>
          <w:p>
            <w:r>
              <w:rPr>
                <w:b/>
                <w:bCs/>
                <w:color w:val="111827"/>
                <w:sz w:val="20"/>
                <w:szCs w:val="20"/>
              </w:rPr>
              <w:t xml:space="preserve">Public feature request board</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Upvotable roadmap, doubles as product feedback channel.</w:t>
            </w:r>
          </w:p>
        </w:tc>
      </w:tr>
      <w:tr>
        <w:tc>
          <w:tcPr>
            <w:tcW w:type="dxa" w:w="3200"/>
            <w:shd w:fill="F8FAFC" w:val="clear"/>
            <w:tcMar>
              <w:top w:type="dxa" w:w="100"/>
              <w:left w:type="dxa" w:w="120"/>
              <w:bottom w:type="dxa" w:w="100"/>
              <w:right w:type="dxa" w:w="120"/>
            </w:tcMar>
          </w:tcPr>
          <w:p>
            <w:r>
              <w:rPr>
                <w:b/>
                <w:bCs/>
                <w:color w:val="111827"/>
                <w:sz w:val="20"/>
                <w:szCs w:val="20"/>
              </w:rPr>
              <w:t xml:space="preserve">Testimonials / user story wall</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Pulled from Play Store reviews + direct submissions.</w:t>
            </w:r>
          </w:p>
        </w:tc>
      </w:tr>
      <w:tr>
        <w:tc>
          <w:tcPr>
            <w:tcW w:type="dxa" w:w="3200"/>
            <w:shd w:fill="FFFFFF" w:val="clear"/>
            <w:tcMar>
              <w:top w:type="dxa" w:w="100"/>
              <w:left w:type="dxa" w:w="120"/>
              <w:bottom w:type="dxa" w:w="100"/>
              <w:right w:type="dxa" w:w="120"/>
            </w:tcMar>
          </w:tcPr>
          <w:p>
            <w:r>
              <w:rPr>
                <w:b/>
                <w:bCs/>
                <w:color w:val="111827"/>
                <w:sz w:val="20"/>
                <w:szCs w:val="20"/>
              </w:rPr>
              <w:t xml:space="preserve">Multi-language pass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Start with 2–3 languages matching the app's voice-logging support (e.g. Hindi, Spanish).</w:t>
            </w:r>
          </w:p>
        </w:tc>
      </w:tr>
      <w:tr>
        <w:tc>
          <w:tcPr>
            <w:tcW w:type="dxa" w:w="3200"/>
            <w:shd w:fill="F8FAFC" w:val="clear"/>
            <w:tcMar>
              <w:top w:type="dxa" w:w="100"/>
              <w:left w:type="dxa" w:w="120"/>
              <w:bottom w:type="dxa" w:w="100"/>
              <w:right w:type="dxa" w:w="120"/>
            </w:tcMar>
          </w:tcPr>
          <w:p>
            <w:r>
              <w:rPr>
                <w:b/>
                <w:bCs/>
                <w:color w:val="111827"/>
                <w:sz w:val="20"/>
                <w:szCs w:val="20"/>
              </w:rPr>
              <w:t xml:space="preserve">Share/referral tools</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"Share this calculator/guide" social buttons on every tool and guide page.</w:t>
            </w:r>
          </w:p>
        </w:tc>
      </w:tr>
    </w:tbl>
    <w:p>
      <w:pPr>
        <w:pStyle w:val="Heading2"/>
        <w:spacing w:after="150" w:before="300"/>
      </w:pPr>
      <w:r>
        <w:t xml:space="preserve">Phase 6 — Advanced Tools &amp; Reference (Weeks 19–24)</w:t>
      </w:r>
    </w:p>
    <w:p>
      <w:pPr>
        <w:spacing w:after="160"/>
      </w:pPr>
      <w:r>
        <w:rPr>
          <w:sz w:val="22"/>
          <w:szCs w:val="22"/>
        </w:rPr>
        <w:t xml:space="preserve">Goal: deepen the tools suite into a genuine reference library that competes with dedicated diabetes-tool sites.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Searchable Food Database (standalone)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Every dish gets its own indexable page/entry — huge long-tail SEO surface ("carbs in dal makhani").</w:t>
            </w:r>
          </w:p>
        </w:tc>
      </w:tr>
      <w:tr>
        <w:tc>
          <w:tcPr>
            <w:tcW w:type="dxa" w:w="3200"/>
            <w:shd w:fill="FFFFFF" w:val="clear"/>
            <w:tcMar>
              <w:top w:type="dxa" w:w="100"/>
              <w:left w:type="dxa" w:w="120"/>
              <w:bottom w:type="dxa" w:w="100"/>
              <w:right w:type="dxa" w:w="120"/>
            </w:tcMar>
          </w:tcPr>
          <w:p>
            <w:r>
              <w:rPr>
                <w:b/>
                <w:bCs/>
                <w:color w:val="111827"/>
                <w:sz w:val="20"/>
                <w:szCs w:val="20"/>
              </w:rPr>
              <w:t xml:space="preserve">Insulin-to-Carb Ratio Calculator</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For app users on insulin, with clear medical disclaimers.</w:t>
            </w:r>
          </w:p>
        </w:tc>
      </w:tr>
      <w:tr>
        <w:tc>
          <w:tcPr>
            <w:tcW w:type="dxa" w:w="3200"/>
            <w:shd w:fill="F8FAFC" w:val="clear"/>
            <w:tcMar>
              <w:top w:type="dxa" w:w="100"/>
              <w:left w:type="dxa" w:w="120"/>
              <w:bottom w:type="dxa" w:w="100"/>
              <w:right w:type="dxa" w:w="120"/>
            </w:tcMar>
          </w:tcPr>
          <w:p>
            <w:r>
              <w:rPr>
                <w:b/>
                <w:bCs/>
                <w:color w:val="111827"/>
                <w:sz w:val="20"/>
                <w:szCs w:val="20"/>
              </w:rPr>
              <w:t xml:space="preserve">Glycemic Index / Load Lookup Tool</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Searchable, pairs naturally with the food database.</w:t>
            </w:r>
          </w:p>
        </w:tc>
      </w:tr>
      <w:tr>
        <w:tc>
          <w:tcPr>
            <w:tcW w:type="dxa" w:w="3200"/>
            <w:shd w:fill="FFFFFF" w:val="clear"/>
            <w:tcMar>
              <w:top w:type="dxa" w:w="100"/>
              <w:left w:type="dxa" w:w="120"/>
              <w:bottom w:type="dxa" w:w="100"/>
              <w:right w:type="dxa" w:w="120"/>
            </w:tcMar>
          </w:tcPr>
          <w:p>
            <w:r>
              <w:rPr>
                <w:b/>
                <w:bCs/>
                <w:color w:val="111827"/>
                <w:sz w:val="20"/>
                <w:szCs w:val="20"/>
              </w:rPr>
              <w:t xml:space="preserve">Medication Glossary</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Plain-language explainer of common diabetes medication classes.</w:t>
            </w:r>
          </w:p>
        </w:tc>
      </w:tr>
      <w:tr>
        <w:tc>
          <w:tcPr>
            <w:tcW w:type="dxa" w:w="3200"/>
            <w:shd w:fill="F8FAFC" w:val="clear"/>
            <w:tcMar>
              <w:top w:type="dxa" w:w="100"/>
              <w:left w:type="dxa" w:w="120"/>
              <w:bottom w:type="dxa" w:w="100"/>
              <w:right w:type="dxa" w:w="120"/>
            </w:tcMar>
          </w:tcPr>
          <w:p>
            <w:r>
              <w:rPr>
                <w:b/>
                <w:bCs/>
                <w:color w:val="111827"/>
                <w:sz w:val="20"/>
                <w:szCs w:val="20"/>
              </w:rPr>
              <w:t xml:space="preserve">Emergency Info 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Hypo/hyper emergency steps + a printable/shareable emergency card, mirroring the app's Emergency Medical ID.</w:t>
            </w:r>
          </w:p>
        </w:tc>
      </w:tr>
    </w:tbl>
    <w:p>
      <w:pPr>
        <w:pStyle w:val="Heading2"/>
        <w:spacing w:after="150" w:before="300"/>
      </w:pPr>
      <w:r>
        <w:t xml:space="preserve">Phase 7 — Scale &amp; Authority (Month 6–12+, ongoing)</w:t>
      </w:r>
    </w:p>
    <w:p>
      <w:pPr>
        <w:spacing w:after="160"/>
      </w:pPr>
      <w:r>
        <w:rPr>
          <w:sz w:val="22"/>
          <w:szCs w:val="22"/>
        </w:rPr>
        <w:t xml:space="preserve">Goal: move from "good site" to "the site people cite" — the phase that compounds traffic and trust over time.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Professional content partnerships</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Guest posts or review-by from a dietitian/endocrinologist — major credibility and backlink signal.</w:t>
            </w:r>
          </w:p>
        </w:tc>
      </w:tr>
      <w:tr>
        <w:tc>
          <w:tcPr>
            <w:tcW w:type="dxa" w:w="3200"/>
            <w:shd w:fill="FFFFFF" w:val="clear"/>
            <w:tcMar>
              <w:top w:type="dxa" w:w="100"/>
              <w:left w:type="dxa" w:w="120"/>
              <w:bottom w:type="dxa" w:w="100"/>
              <w:right w:type="dxa" w:w="120"/>
            </w:tcMar>
          </w:tcPr>
          <w:p>
            <w:r>
              <w:rPr>
                <w:b/>
                <w:bCs/>
                <w:color w:val="111827"/>
                <w:sz w:val="20"/>
                <w:szCs w:val="20"/>
              </w:rPr>
              <w:t xml:space="preserve">Nonprofit/association partnerships</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Outreach to diabetes nonprofits for backlinks and co-promotion.</w:t>
            </w:r>
          </w:p>
        </w:tc>
      </w:tr>
      <w:tr>
        <w:tc>
          <w:tcPr>
            <w:tcW w:type="dxa" w:w="3200"/>
            <w:shd w:fill="F8FAFC" w:val="clear"/>
            <w:tcMar>
              <w:top w:type="dxa" w:w="100"/>
              <w:left w:type="dxa" w:w="120"/>
              <w:bottom w:type="dxa" w:w="100"/>
              <w:right w:type="dxa" w:w="120"/>
            </w:tcMar>
          </w:tcPr>
          <w:p>
            <w:r>
              <w:rPr>
                <w:b/>
                <w:bCs/>
                <w:color w:val="111827"/>
                <w:sz w:val="20"/>
                <w:szCs w:val="20"/>
              </w:rPr>
              <w:t xml:space="preserve">Press / media kit page</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For future coverage and partnership inquiries.</w:t>
            </w:r>
          </w:p>
        </w:tc>
      </w:tr>
      <w:tr>
        <w:tc>
          <w:tcPr>
            <w:tcW w:type="dxa" w:w="3200"/>
            <w:shd w:fill="FFFFFF" w:val="clear"/>
            <w:tcMar>
              <w:top w:type="dxa" w:w="100"/>
              <w:left w:type="dxa" w:w="120"/>
              <w:bottom w:type="dxa" w:w="100"/>
              <w:right w:type="dxa" w:w="120"/>
            </w:tcMar>
          </w:tcPr>
          <w:p>
            <w:r>
              <w:rPr>
                <w:b/>
                <w:bCs/>
                <w:color w:val="111827"/>
                <w:sz w:val="20"/>
                <w:szCs w:val="20"/>
              </w:rPr>
              <w:t xml:space="preserve">Webinars / live Q&amp;A</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Periodic live sessions with health professionals, repurposed into blog/video content.</w:t>
            </w:r>
          </w:p>
        </w:tc>
      </w:tr>
      <w:tr>
        <w:tc>
          <w:tcPr>
            <w:tcW w:type="dxa" w:w="3200"/>
            <w:shd w:fill="F8FAFC" w:val="clear"/>
            <w:tcMar>
              <w:top w:type="dxa" w:w="100"/>
              <w:left w:type="dxa" w:w="120"/>
              <w:bottom w:type="dxa" w:w="100"/>
              <w:right w:type="dxa" w:w="120"/>
            </w:tcMar>
          </w:tcPr>
          <w:p>
            <w:r>
              <w:rPr>
                <w:b/>
                <w:bCs/>
                <w:color w:val="111827"/>
                <w:sz w:val="20"/>
                <w:szCs w:val="20"/>
              </w:rPr>
              <w:t xml:space="preserve">AI Q&amp;A assistant (careful rollout)</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Diabetes-info chat assistant with strong medical disclaimers and a clear "not medical advice" framing — legal review recommended before launch.</w:t>
            </w:r>
          </w:p>
        </w:tc>
      </w:tr>
      <w:tr>
        <w:tc>
          <w:tcPr>
            <w:tcW w:type="dxa" w:w="3200"/>
            <w:shd w:fill="FFFFFF" w:val="clear"/>
            <w:tcMar>
              <w:top w:type="dxa" w:w="100"/>
              <w:left w:type="dxa" w:w="120"/>
              <w:bottom w:type="dxa" w:w="100"/>
              <w:right w:type="dxa" w:w="120"/>
            </w:tcMar>
          </w:tcPr>
          <w:p>
            <w:r>
              <w:rPr>
                <w:b/>
                <w:bCs/>
                <w:color w:val="111827"/>
                <w:sz w:val="20"/>
                <w:szCs w:val="20"/>
              </w:rPr>
              <w:t xml:space="preserve">Personalized web dashboard (optional, long-term)</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Only if there's demand for a logged-in web experience beyond the app — a bigger, separate initiative.</w:t>
            </w:r>
          </w:p>
        </w:tc>
      </w:tr>
    </w:tbl>
    <w:p>
      <w:pPr>
        <w:pStyle w:val="Heading1"/>
        <w:spacing w:after="200" w:before="400"/>
      </w:pPr>
      <w:r>
        <w:t xml:space="preserve">5. Recommended Tech Stack</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0B1220" w:val="clear"/>
            <w:tcMar>
              <w:top w:type="dxa" w:w="100"/>
              <w:left w:type="dxa" w:w="120"/>
              <w:bottom w:type="dxa" w:w="100"/>
              <w:right w:type="dxa" w:w="120"/>
            </w:tcMar>
          </w:tcPr>
          <w:p>
            <w:r>
              <w:rPr>
                <w:b/>
                <w:bCs/>
                <w:color w:val="FFFFFF"/>
                <w:sz w:val="20"/>
                <w:szCs w:val="20"/>
              </w:rPr>
              <w:t xml:space="preserve">Feature / Task</w:t>
            </w:r>
          </w:p>
        </w:tc>
        <w:tc>
          <w:tcPr>
            <w:tcW w:type="dxa" w:w="6400"/>
            <w:shd w:fill="0B1220" w:val="clear"/>
            <w:tcMar>
              <w:top w:type="dxa" w:w="100"/>
              <w:left w:type="dxa" w:w="120"/>
              <w:bottom w:type="dxa" w:w="100"/>
              <w:right w:type="dxa" w:w="120"/>
            </w:tcMar>
          </w:tcPr>
          <w:p>
            <w:r>
              <w:rPr>
                <w:b/>
                <w:bCs/>
                <w:color w:val="FFFFFF"/>
                <w:sz w:val="20"/>
                <w:szCs w:val="20"/>
              </w:rPr>
              <w:t xml:space="preserve">Notes</w:t>
            </w:r>
          </w:p>
        </w:tc>
      </w:tr>
      <w:tr>
        <w:tc>
          <w:tcPr>
            <w:tcW w:type="dxa" w:w="3200"/>
            <w:shd w:fill="F8FAFC" w:val="clear"/>
            <w:tcMar>
              <w:top w:type="dxa" w:w="100"/>
              <w:left w:type="dxa" w:w="120"/>
              <w:bottom w:type="dxa" w:w="100"/>
              <w:right w:type="dxa" w:w="120"/>
            </w:tcMar>
          </w:tcPr>
          <w:p>
            <w:r>
              <w:rPr>
                <w:b/>
                <w:bCs/>
                <w:color w:val="111827"/>
                <w:sz w:val="20"/>
                <w:szCs w:val="20"/>
              </w:rPr>
              <w:t xml:space="preserve">Framework</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Next.js (static export) or Astro — fast, SEO-friendly, supports client-side calculators and a markdown/MDX blog.</w:t>
            </w:r>
          </w:p>
        </w:tc>
      </w:tr>
      <w:tr>
        <w:tc>
          <w:tcPr>
            <w:tcW w:type="dxa" w:w="3200"/>
            <w:shd w:fill="FFFFFF" w:val="clear"/>
            <w:tcMar>
              <w:top w:type="dxa" w:w="100"/>
              <w:left w:type="dxa" w:w="120"/>
              <w:bottom w:type="dxa" w:w="100"/>
              <w:right w:type="dxa" w:w="120"/>
            </w:tcMar>
          </w:tcPr>
          <w:p>
            <w:r>
              <w:rPr>
                <w:b/>
                <w:bCs/>
                <w:color w:val="111827"/>
                <w:sz w:val="20"/>
                <w:szCs w:val="20"/>
              </w:rPr>
              <w:t xml:space="preserve">Hosting</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Vercel or Netlify recommended for easier blog/CMS workflow and preview deployments; GitHub Pages remains an option if simplicity is preferred over CMS convenience.</w:t>
            </w:r>
          </w:p>
        </w:tc>
      </w:tr>
      <w:tr>
        <w:tc>
          <w:tcPr>
            <w:tcW w:type="dxa" w:w="3200"/>
            <w:shd w:fill="F8FAFC" w:val="clear"/>
            <w:tcMar>
              <w:top w:type="dxa" w:w="100"/>
              <w:left w:type="dxa" w:w="120"/>
              <w:bottom w:type="dxa" w:w="100"/>
              <w:right w:type="dxa" w:w="120"/>
            </w:tcMar>
          </w:tcPr>
          <w:p>
            <w:r>
              <w:rPr>
                <w:b/>
                <w:bCs/>
                <w:color w:val="111827"/>
                <w:sz w:val="20"/>
                <w:szCs w:val="20"/>
              </w:rPr>
              <w:t xml:space="preserve">Content</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Markdown/MDX files in the repo (or a lightweight headless CMS like Sanity/Contentful once the blog cadence justifies it).</w:t>
            </w:r>
          </w:p>
        </w:tc>
      </w:tr>
      <w:tr>
        <w:tc>
          <w:tcPr>
            <w:tcW w:type="dxa" w:w="3200"/>
            <w:shd w:fill="FFFFFF" w:val="clear"/>
            <w:tcMar>
              <w:top w:type="dxa" w:w="100"/>
              <w:left w:type="dxa" w:w="120"/>
              <w:bottom w:type="dxa" w:w="100"/>
              <w:right w:type="dxa" w:w="120"/>
            </w:tcMar>
          </w:tcPr>
          <w:p>
            <w:r>
              <w:rPr>
                <w:b/>
                <w:bCs/>
                <w:color w:val="111827"/>
                <w:sz w:val="20"/>
                <w:szCs w:val="20"/>
              </w:rPr>
              <w:t xml:space="preserve">Forms &amp; email</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A form service (e.g. Formspree/ConvertKit/Mailchimp) for newsletter capture and feedback forms.</w:t>
            </w:r>
          </w:p>
        </w:tc>
      </w:tr>
      <w:tr>
        <w:tc>
          <w:tcPr>
            <w:tcW w:type="dxa" w:w="3200"/>
            <w:shd w:fill="F8FAFC" w:val="clear"/>
            <w:tcMar>
              <w:top w:type="dxa" w:w="100"/>
              <w:left w:type="dxa" w:w="120"/>
              <w:bottom w:type="dxa" w:w="100"/>
              <w:right w:type="dxa" w:w="120"/>
            </w:tcMar>
          </w:tcPr>
          <w:p>
            <w:r>
              <w:rPr>
                <w:b/>
                <w:bCs/>
                <w:color w:val="111827"/>
                <w:sz w:val="20"/>
                <w:szCs w:val="20"/>
              </w:rPr>
              <w:t xml:space="preserve">Analytics</w:t>
            </w:r>
          </w:p>
        </w:tc>
        <w:tc>
          <w:tcPr>
            <w:tcW w:type="dxa" w:w="6400"/>
            <w:shd w:fill="F8FAFC" w:val="clear"/>
            <w:tcMar>
              <w:top w:type="dxa" w:w="100"/>
              <w:left w:type="dxa" w:w="120"/>
              <w:bottom w:type="dxa" w:w="100"/>
              <w:right w:type="dxa" w:w="120"/>
            </w:tcMar>
          </w:tcPr>
          <w:p>
            <w:r>
              <w:rPr>
                <w:b w:val="false"/>
                <w:bCs w:val="false"/>
                <w:color w:val="111827"/>
                <w:sz w:val="20"/>
                <w:szCs w:val="20"/>
              </w:rPr>
              <w:t xml:space="preserve">Google Analytics 4 + Search Console; optionally a privacy-friendly analytics tool (Plausible) given the health-data-conscious audience.</w:t>
            </w:r>
          </w:p>
        </w:tc>
      </w:tr>
      <w:tr>
        <w:tc>
          <w:tcPr>
            <w:tcW w:type="dxa" w:w="3200"/>
            <w:shd w:fill="FFFFFF" w:val="clear"/>
            <w:tcMar>
              <w:top w:type="dxa" w:w="100"/>
              <w:left w:type="dxa" w:w="120"/>
              <w:bottom w:type="dxa" w:w="100"/>
              <w:right w:type="dxa" w:w="120"/>
            </w:tcMar>
          </w:tcPr>
          <w:p>
            <w:r>
              <w:rPr>
                <w:b/>
                <w:bCs/>
                <w:color w:val="111827"/>
                <w:sz w:val="20"/>
                <w:szCs w:val="20"/>
              </w:rPr>
              <w:t xml:space="preserve">Domain</w:t>
            </w:r>
          </w:p>
        </w:tc>
        <w:tc>
          <w:tcPr>
            <w:tcW w:type="dxa" w:w="6400"/>
            <w:shd w:fill="FFFFFF" w:val="clear"/>
            <w:tcMar>
              <w:top w:type="dxa" w:w="100"/>
              <w:left w:type="dxa" w:w="120"/>
              <w:bottom w:type="dxa" w:w="100"/>
              <w:right w:type="dxa" w:w="120"/>
            </w:tcMar>
          </w:tcPr>
          <w:p>
            <w:r>
              <w:rPr>
                <w:b w:val="false"/>
                <w:bCs w:val="false"/>
                <w:color w:val="111827"/>
                <w:sz w:val="20"/>
                <w:szCs w:val="20"/>
              </w:rPr>
              <w:t xml:space="preserve">myhealthyglucose.com as primary; permanent redirect from myhealthyglucose.datasparktech.com.</w:t>
            </w:r>
          </w:p>
        </w:tc>
      </w:tr>
    </w:tbl>
    <w:p>
      <w:pPr>
        <w:pStyle w:val="Heading1"/>
        <w:spacing w:after="200" w:before="400"/>
      </w:pPr>
      <w:r>
        <w:t xml:space="preserve">6. Success Metrics by Phase</w:t>
      </w:r>
    </w:p>
    <w:p>
      <w:pPr>
        <w:pStyle w:val="ListParagraph"/>
        <w:numPr>
          <w:ilvl w:val="0"/>
          <w:numId w:val="1"/>
        </w:numPr>
        <w:spacing w:after="80"/>
      </w:pPr>
      <w:r>
        <w:t xml:space="preserve">Phase 0–1: Site live, Core Web Vitals passing, analytics tracking confirmed.</w:t>
      </w:r>
    </w:p>
    <w:p>
      <w:pPr>
        <w:pStyle w:val="ListParagraph"/>
        <w:numPr>
          <w:ilvl w:val="0"/>
          <w:numId w:val="1"/>
        </w:numPr>
        <w:spacing w:after="80"/>
      </w:pPr>
      <w:r>
        <w:t xml:space="preserve">Phase 2: Tool pages indexed by Google; track calculator completions and Play Store click-throughs from tool pages.</w:t>
      </w:r>
    </w:p>
    <w:p>
      <w:pPr>
        <w:pStyle w:val="ListParagraph"/>
        <w:numPr>
          <w:ilvl w:val="0"/>
          <w:numId w:val="1"/>
        </w:numPr>
        <w:spacing w:after="80"/>
      </w:pPr>
      <w:r>
        <w:t xml:space="preserve">Phase 3: Organic impressions/clicks in Search Console for guide pages; average time-on-page.</w:t>
      </w:r>
    </w:p>
    <w:p>
      <w:pPr>
        <w:pStyle w:val="ListParagraph"/>
        <w:numPr>
          <w:ilvl w:val="0"/>
          <w:numId w:val="1"/>
        </w:numPr>
        <w:spacing w:after="80"/>
      </w:pPr>
      <w:r>
        <w:t xml:space="preserve">Phase 4: Newsletter subscriber growth; returning-visitor rate.</w:t>
      </w:r>
    </w:p>
    <w:p>
      <w:pPr>
        <w:pStyle w:val="ListParagraph"/>
        <w:numPr>
          <w:ilvl w:val="0"/>
          <w:numId w:val="1"/>
        </w:numPr>
        <w:spacing w:after="80"/>
      </w:pPr>
      <w:r>
        <w:t xml:space="preserve">Phase 5: Community participation (votes, feature requests, testimonials submitted).</w:t>
      </w:r>
    </w:p>
    <w:p>
      <w:pPr>
        <w:pStyle w:val="ListParagraph"/>
        <w:numPr>
          <w:ilvl w:val="0"/>
          <w:numId w:val="1"/>
        </w:numPr>
        <w:spacing w:after="80"/>
      </w:pPr>
      <w:r>
        <w:t xml:space="preserve">Phase 6: Long-tail keyword rankings for food-database entries; total indexed pages.</w:t>
      </w:r>
    </w:p>
    <w:p>
      <w:pPr>
        <w:pStyle w:val="ListParagraph"/>
        <w:numPr>
          <w:ilvl w:val="0"/>
          <w:numId w:val="1"/>
        </w:numPr>
        <w:spacing w:after="80"/>
      </w:pPr>
      <w:r>
        <w:t xml:space="preserve">Phase 7: Referring domains / backlinks; press mentions; overall organic sessions trending toward six figures annually.</w:t>
      </w:r>
    </w:p>
    <w:p>
      <w:pPr>
        <w:pStyle w:val="Heading1"/>
        <w:spacing w:after="200" w:before="400"/>
      </w:pPr>
      <w:r>
        <w:t xml:space="preserve">7. Compliance &amp; Trust Notes</w:t>
      </w:r>
    </w:p>
    <w:p>
      <w:pPr>
        <w:spacing w:after="160"/>
      </w:pPr>
      <w:r>
        <w:rPr>
          <w:sz w:val="22"/>
          <w:szCs w:val="22"/>
        </w:rPr>
        <w:t xml:space="preserve">Because this is a health-adjacent site, a few things should be baked in from Phase 0 rather than retrofitted later:</w:t>
      </w:r>
    </w:p>
    <w:p>
      <w:pPr>
        <w:pStyle w:val="ListParagraph"/>
        <w:numPr>
          <w:ilvl w:val="0"/>
          <w:numId w:val="1"/>
        </w:numPr>
        <w:spacing w:after="80"/>
      </w:pPr>
      <w:r>
        <w:t xml:space="preserve">Every calculator and guide carries a clear "not a substitute for medical advice, consult your doctor" disclaimer — consistent with the app's existing Play Store disclaimer.</w:t>
      </w:r>
    </w:p>
    <w:p>
      <w:pPr>
        <w:pStyle w:val="ListParagraph"/>
        <w:numPr>
          <w:ilvl w:val="0"/>
          <w:numId w:val="1"/>
        </w:numPr>
        <w:spacing w:after="80"/>
      </w:pPr>
      <w:r>
        <w:t xml:space="preserve">No health data is required to use any web tool — calculators should work anonymously, with no login, to minimize data-privacy exposure on the web side.</w:t>
      </w:r>
    </w:p>
    <w:p>
      <w:pPr>
        <w:pStyle w:val="ListParagraph"/>
        <w:numPr>
          <w:ilvl w:val="0"/>
          <w:numId w:val="1"/>
        </w:numPr>
        <w:spacing w:after="80"/>
      </w:pPr>
      <w:r>
        <w:t xml:space="preserve">If email capture or forms collect any health-related info, review against applicable privacy expectations before launch (this is a lighter bar than the app's data-safety declarations, but should stay consistent with the "we never sell your data" promise).</w:t>
      </w:r>
    </w:p>
    <w:p>
      <w:pPr>
        <w:pStyle w:val="ListParagraph"/>
        <w:numPr>
          <w:ilvl w:val="0"/>
          <w:numId w:val="1"/>
        </w:numPr>
        <w:spacing w:after="80"/>
      </w:pPr>
      <w:r>
        <w:t xml:space="preserve">The AI Q&amp;A assistant (Phase 7) is the one feature that warrants a legal/compliance review before shipping, given the liability profile of AI-generated medical-adjacent answers.</w:t>
      </w:r>
    </w:p>
    <w:p>
      <w:pPr>
        <w:pStyle w:val="Heading1"/>
        <w:spacing w:after="200" w:before="400"/>
      </w:pPr>
      <w:r>
        <w:t xml:space="preserve">8. Immediate Next Steps</w:t>
      </w:r>
    </w:p>
    <w:p>
      <w:pPr>
        <w:pStyle w:val="ListParagraph"/>
        <w:numPr>
          <w:ilvl w:val="0"/>
          <w:numId w:val="1"/>
        </w:numPr>
        <w:spacing w:after="80"/>
      </w:pPr>
      <w:r>
        <w:t xml:space="preserve">Confirm hosting choice (stay on GitHub Pages vs. move to Vercel/Netlify) — this decision gates Phase 0.</w:t>
      </w:r>
    </w:p>
    <w:p>
      <w:pPr>
        <w:pStyle w:val="ListParagraph"/>
        <w:numPr>
          <w:ilvl w:val="0"/>
          <w:numId w:val="1"/>
        </w:numPr>
        <w:spacing w:after="80"/>
      </w:pPr>
      <w:r>
        <w:t xml:space="preserve">Approve the design direction in Section 2 so a design system can be built once, not redone per page.</w:t>
      </w:r>
    </w:p>
    <w:p>
      <w:pPr>
        <w:pStyle w:val="ListParagraph"/>
        <w:numPr>
          <w:ilvl w:val="0"/>
          <w:numId w:val="1"/>
        </w:numPr>
        <w:spacing w:after="80"/>
      </w:pPr>
      <w:r>
        <w:t xml:space="preserve">Decide which Phase 0–2 tasks you want to tackle first when we move from planning into building.</w:t>
      </w:r>
    </w:p>
    <w:p>
      <w:pPr>
        <w:spacing w:after="160"/>
      </w:pPr>
      <w:r>
        <w:rPr>
          <w:sz w:val="22"/>
          <w:szCs w:val="22"/>
        </w:rPr>
        <w:t xml:space="preserve"/>
      </w:r>
    </w:p>
    <w:p>
      <w:pPr>
        <w:spacing w:after="160"/>
      </w:pPr>
      <w:r>
        <w:rPr>
          <w:i/>
          <w:iCs/>
          <w:color w:val="6B7280"/>
          <w:sz w:val="18"/>
          <w:szCs w:val="18"/>
        </w:rPr>
        <w:t xml:space="preserve">End of document.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B1220"/>
      <w:sz w:val="34"/>
      <w:szCs w:val="34"/>
    </w:rPr>
  </w:style>
  <w:style w:type="paragraph" w:styleId="Heading2">
    <w:name w:val="Heading 2"/>
    <w:basedOn w:val="Normal"/>
    <w:next w:val="Normal"/>
    <w:qFormat/>
    <w:pPr>
      <w:spacing w:after="140" w:before="280"/>
      <w:outlineLvl w:val="1"/>
    </w:pPr>
    <w:rPr>
      <w:rFonts w:ascii="Calibri" w:cs="Calibri" w:eastAsia="Calibri" w:hAnsi="Calibri"/>
      <w:b/>
      <w:bCs/>
      <w:color w:val="0EA5A5"/>
      <w:sz w:val="27"/>
      <w:szCs w:val="27"/>
    </w:rPr>
  </w:style>
  <w:style w:type="paragraph" w:styleId="Heading3">
    <w:name w:val="Heading 3"/>
    <w:basedOn w:val="Normal"/>
    <w:next w:val="Normal"/>
    <w:qFormat/>
    <w:pPr>
      <w:spacing w:after="100" w:before="200"/>
      <w:outlineLvl w:val="2"/>
    </w:pPr>
    <w:rPr>
      <w:rFonts w:ascii="Calibri" w:cs="Calibri" w:eastAsia="Calibri" w:hAnsi="Calibri"/>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2026-07-23T05:16:23.298Z</dcterms:created>
  <dcterms:modified xsi:type="dcterms:W3CDTF">2026-07-23T05:16:23.299Z</dcterms:modified>
</cp:coreProperties>
</file>

<file path=docProps/custom.xml><?xml version="1.0" encoding="utf-8"?>
<Properties xmlns="http://schemas.openxmlformats.org/officeDocument/2006/custom-properties" xmlns:vt="http://schemas.openxmlformats.org/officeDocument/2006/docPropsVTypes"/>
</file>