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Resultados de la Evaluación del Modelo RAG</w:t>
      </w:r>
    </w:p>
    <w:p>
      <w:r>
        <w:rPr>
          <w:i/>
          <w:color w:val="595959"/>
          <w:sz w:val="22"/>
        </w:rPr>
        <w:t>Asistente Conversacional del Sistema iTimeControl — Tesis: Implementación de un modelo basado en Retrieval-Augmented Generation (RAG) para mejorar la calidad de las respuestas a consultas operativas del Sistema iTimeControl</w:t>
      </w:r>
    </w:p>
    <w:p/>
    <w:p>
      <w:pPr>
        <w:pStyle w:val="Heading1"/>
      </w:pPr>
      <w:r>
        <w:rPr>
          <w:color w:val="1F3864"/>
        </w:rPr>
        <w:t>1. Diseño de la evaluación</w:t>
      </w:r>
    </w:p>
    <w:p>
      <w:r>
        <w:t>Se evaluó el pipeline RAG implementado (recuperación semántica con FAISS + generación con el modelo LLaMA 3.3 70B vía API de Groq) bajo un diseño pre-experimental de un solo grupo con medición pre-prueba y post-prueba (baseline sin RAG → implementación del componente RAG → medición con RAG). Se utilizó un conjunto curado de 30 preguntas naturales extraídas del FAQ oficial del sistema iTimeControl, evitando preguntas fragmentadas o artificiales, para reflejar consultas operativas reales de un usuario final.</w:t>
      </w:r>
    </w:p>
    <w:p>
      <w:r>
        <w:t>Se calcularon tres familias de métricas: (a) métricas de solapamiento léxico entre la respuesta generada y la respuesta de referencia (ROUGE-1/2/L, BLEU, Exact Match); (b) métricas de recuperación de información (Hit Rate, MRR, Recall@K), aplicables solo a la condición con RAG; y (c) métricas de evaluación semántica mediante LLM-as-judge (Relevancy, Correctness y Faithfulness), que evalúan significado en lugar de solapamiento superficial de palabras.</w:t>
      </w:r>
    </w:p>
    <w:p>
      <w:pPr>
        <w:pStyle w:val="Heading1"/>
      </w:pPr>
      <w:r>
        <w:rPr>
          <w:color w:val="1F3864"/>
        </w:rPr>
        <w:t>2. Resultados comparativos: Baseline (sin RAG) vs. modelo con RAG</w:t>
      </w:r>
    </w:p>
    <w:p>
      <w:r>
        <w:t>La Tabla 1 compara el desempeño del mismo modelo generador (LLaMA 3.3 70B) respondiendo únicamente con su conocimiento general (baseline, sin recuperación de contexto) frente al pipeline RAG completo, sobre las mismas 30 preguntas.</w:t>
      </w:r>
    </w:p>
    <w:p>
      <w:pPr>
        <w:pStyle w:val="Caption"/>
      </w:pPr>
      <w:r>
        <w:t>Tabla 1. Comparación de métricas — Baseline vs. RAG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val="clear" w:color="auto" w:fill="1F3864"/>
          </w:tcPr>
          <w:p>
            <w:pPr>
              <w:jc w:val="center"/>
            </w:pPr>
            <w:r>
              <w:rPr>
                <w:b/>
                <w:color w:val="FFFFFF"/>
                <w:sz w:val="20"/>
              </w:rPr>
              <w:t>Métrica</w:t>
            </w:r>
          </w:p>
        </w:tc>
        <w:tc>
          <w:tcPr>
            <w:tcW w:type="dxa" w:w="1984"/>
            <w:shd w:val="clear" w:color="auto" w:fill="1F3864"/>
          </w:tcPr>
          <w:p>
            <w:pPr>
              <w:jc w:val="center"/>
            </w:pPr>
            <w:r>
              <w:rPr>
                <w:b/>
                <w:color w:val="FFFFFF"/>
                <w:sz w:val="20"/>
              </w:rPr>
              <w:t>Baseline (sin RAG)</w:t>
            </w:r>
          </w:p>
        </w:tc>
        <w:tc>
          <w:tcPr>
            <w:tcW w:type="dxa" w:w="1701"/>
            <w:shd w:val="clear" w:color="auto" w:fill="1F3864"/>
          </w:tcPr>
          <w:p>
            <w:pPr>
              <w:jc w:val="center"/>
            </w:pPr>
            <w:r>
              <w:rPr>
                <w:b/>
                <w:color w:val="FFFFFF"/>
                <w:sz w:val="20"/>
              </w:rPr>
              <w:t>Con RAG</w:t>
            </w:r>
          </w:p>
        </w:tc>
        <w:tc>
          <w:tcPr>
            <w:tcW w:type="dxa" w:w="1701"/>
            <w:shd w:val="clear" w:color="auto" w:fill="1F3864"/>
          </w:tcPr>
          <w:p>
            <w:pPr>
              <w:jc w:val="center"/>
            </w:pPr>
            <w:r>
              <w:rPr>
                <w:b/>
                <w:color w:val="FFFFFF"/>
                <w:sz w:val="20"/>
              </w:rPr>
              <w:t>Δ relativo</w:t>
            </w:r>
          </w:p>
        </w:tc>
      </w:tr>
      <w:tr>
        <w:tc>
          <w:tcPr>
            <w:tcW w:type="dxa" w:w="2835"/>
          </w:tcPr>
          <w:p>
            <w:pPr>
              <w:jc w:val="left"/>
            </w:pPr>
            <w:r>
              <w:rPr>
                <w:sz w:val="20"/>
              </w:rPr>
              <w:t>ROUGE-1</w:t>
            </w:r>
          </w:p>
        </w:tc>
        <w:tc>
          <w:tcPr>
            <w:tcW w:type="dxa" w:w="1984"/>
          </w:tcPr>
          <w:p>
            <w:pPr>
              <w:jc w:val="center"/>
            </w:pPr>
            <w:r>
              <w:rPr>
                <w:sz w:val="20"/>
              </w:rPr>
              <w:t>0.0655</w:t>
            </w:r>
          </w:p>
        </w:tc>
        <w:tc>
          <w:tcPr>
            <w:tcW w:type="dxa" w:w="1701"/>
          </w:tcPr>
          <w:p>
            <w:pPr>
              <w:jc w:val="center"/>
            </w:pPr>
            <w:r>
              <w:rPr>
                <w:sz w:val="20"/>
              </w:rPr>
              <w:t>0.2124</w:t>
            </w:r>
          </w:p>
        </w:tc>
        <w:tc>
          <w:tcPr>
            <w:tcW w:type="dxa" w:w="1701"/>
          </w:tcPr>
          <w:p>
            <w:pPr>
              <w:jc w:val="center"/>
            </w:pPr>
            <w:r>
              <w:rPr>
                <w:sz w:val="20"/>
              </w:rPr>
              <w:t>+224%</w:t>
            </w:r>
          </w:p>
        </w:tc>
      </w:tr>
      <w:tr>
        <w:tc>
          <w:tcPr>
            <w:tcW w:type="dxa" w:w="2835"/>
            <w:shd w:val="clear" w:color="auto" w:fill="F2F2F2"/>
          </w:tcPr>
          <w:p>
            <w:pPr>
              <w:jc w:val="left"/>
            </w:pPr>
            <w:r>
              <w:rPr>
                <w:sz w:val="20"/>
              </w:rPr>
              <w:t>ROUGE-2</w:t>
            </w:r>
          </w:p>
        </w:tc>
        <w:tc>
          <w:tcPr>
            <w:tcW w:type="dxa" w:w="1984"/>
            <w:shd w:val="clear" w:color="auto" w:fill="F2F2F2"/>
          </w:tcPr>
          <w:p>
            <w:pPr>
              <w:jc w:val="center"/>
            </w:pPr>
            <w:r>
              <w:rPr>
                <w:sz w:val="20"/>
              </w:rPr>
              <w:t>0.0121</w:t>
            </w:r>
          </w:p>
        </w:tc>
        <w:tc>
          <w:tcPr>
            <w:tcW w:type="dxa" w:w="1701"/>
            <w:shd w:val="clear" w:color="auto" w:fill="F2F2F2"/>
          </w:tcPr>
          <w:p>
            <w:pPr>
              <w:jc w:val="center"/>
            </w:pPr>
            <w:r>
              <w:rPr>
                <w:sz w:val="20"/>
              </w:rPr>
              <w:t>0.1338</w:t>
            </w:r>
          </w:p>
        </w:tc>
        <w:tc>
          <w:tcPr>
            <w:tcW w:type="dxa" w:w="1701"/>
            <w:shd w:val="clear" w:color="auto" w:fill="F2F2F2"/>
          </w:tcPr>
          <w:p>
            <w:pPr>
              <w:jc w:val="center"/>
            </w:pPr>
            <w:r>
              <w:rPr>
                <w:sz w:val="20"/>
              </w:rPr>
              <w:t>+1006%</w:t>
            </w:r>
          </w:p>
        </w:tc>
      </w:tr>
      <w:tr>
        <w:tc>
          <w:tcPr>
            <w:tcW w:type="dxa" w:w="2835"/>
          </w:tcPr>
          <w:p>
            <w:pPr>
              <w:jc w:val="left"/>
            </w:pPr>
            <w:r>
              <w:rPr>
                <w:sz w:val="20"/>
              </w:rPr>
              <w:t>ROUGE-L</w:t>
            </w:r>
          </w:p>
        </w:tc>
        <w:tc>
          <w:tcPr>
            <w:tcW w:type="dxa" w:w="1984"/>
          </w:tcPr>
          <w:p>
            <w:pPr>
              <w:jc w:val="center"/>
            </w:pPr>
            <w:r>
              <w:rPr>
                <w:sz w:val="20"/>
              </w:rPr>
              <w:t>0.0512</w:t>
            </w:r>
          </w:p>
        </w:tc>
        <w:tc>
          <w:tcPr>
            <w:tcW w:type="dxa" w:w="1701"/>
          </w:tcPr>
          <w:p>
            <w:pPr>
              <w:jc w:val="center"/>
            </w:pPr>
            <w:r>
              <w:rPr>
                <w:sz w:val="20"/>
              </w:rPr>
              <w:t>0.1882</w:t>
            </w:r>
          </w:p>
        </w:tc>
        <w:tc>
          <w:tcPr>
            <w:tcW w:type="dxa" w:w="1701"/>
          </w:tcPr>
          <w:p>
            <w:pPr>
              <w:jc w:val="center"/>
            </w:pPr>
            <w:r>
              <w:rPr>
                <w:sz w:val="20"/>
              </w:rPr>
              <w:t>+268%</w:t>
            </w:r>
          </w:p>
        </w:tc>
      </w:tr>
      <w:tr>
        <w:tc>
          <w:tcPr>
            <w:tcW w:type="dxa" w:w="2835"/>
            <w:shd w:val="clear" w:color="auto" w:fill="F2F2F2"/>
          </w:tcPr>
          <w:p>
            <w:pPr>
              <w:jc w:val="left"/>
            </w:pPr>
            <w:r>
              <w:rPr>
                <w:sz w:val="20"/>
              </w:rPr>
              <w:t>BLEU</w:t>
            </w:r>
          </w:p>
        </w:tc>
        <w:tc>
          <w:tcPr>
            <w:tcW w:type="dxa" w:w="1984"/>
            <w:shd w:val="clear" w:color="auto" w:fill="F2F2F2"/>
          </w:tcPr>
          <w:p>
            <w:pPr>
              <w:jc w:val="center"/>
            </w:pPr>
            <w:r>
              <w:rPr>
                <w:sz w:val="20"/>
              </w:rPr>
              <w:t>0.0037</w:t>
            </w:r>
          </w:p>
        </w:tc>
        <w:tc>
          <w:tcPr>
            <w:tcW w:type="dxa" w:w="1701"/>
            <w:shd w:val="clear" w:color="auto" w:fill="F2F2F2"/>
          </w:tcPr>
          <w:p>
            <w:pPr>
              <w:jc w:val="center"/>
            </w:pPr>
            <w:r>
              <w:rPr>
                <w:sz w:val="20"/>
              </w:rPr>
              <w:t>0.0903</w:t>
            </w:r>
          </w:p>
        </w:tc>
        <w:tc>
          <w:tcPr>
            <w:tcW w:type="dxa" w:w="1701"/>
            <w:shd w:val="clear" w:color="auto" w:fill="F2F2F2"/>
          </w:tcPr>
          <w:p>
            <w:pPr>
              <w:jc w:val="center"/>
            </w:pPr>
            <w:r>
              <w:rPr>
                <w:sz w:val="20"/>
              </w:rPr>
              <w:t>+2340%</w:t>
            </w:r>
          </w:p>
        </w:tc>
      </w:tr>
      <w:tr>
        <w:tc>
          <w:tcPr>
            <w:tcW w:type="dxa" w:w="2835"/>
          </w:tcPr>
          <w:p>
            <w:pPr>
              <w:jc w:val="left"/>
            </w:pPr>
            <w:r>
              <w:rPr>
                <w:sz w:val="20"/>
              </w:rPr>
              <w:t>Exact Match</w:t>
            </w:r>
          </w:p>
        </w:tc>
        <w:tc>
          <w:tcPr>
            <w:tcW w:type="dxa" w:w="1984"/>
          </w:tcPr>
          <w:p>
            <w:pPr>
              <w:jc w:val="center"/>
            </w:pPr>
            <w:r>
              <w:rPr>
                <w:sz w:val="20"/>
              </w:rPr>
              <w:t>0.0000</w:t>
            </w:r>
          </w:p>
        </w:tc>
        <w:tc>
          <w:tcPr>
            <w:tcW w:type="dxa" w:w="1701"/>
          </w:tcPr>
          <w:p>
            <w:pPr>
              <w:jc w:val="center"/>
            </w:pPr>
            <w:r>
              <w:rPr>
                <w:sz w:val="20"/>
              </w:rPr>
              <w:t>0.0000</w:t>
            </w:r>
          </w:p>
        </w:tc>
        <w:tc>
          <w:tcPr>
            <w:tcW w:type="dxa" w:w="1701"/>
          </w:tcPr>
          <w:p>
            <w:pPr>
              <w:jc w:val="center"/>
            </w:pPr>
            <w:r>
              <w:rPr>
                <w:sz w:val="20"/>
              </w:rPr>
              <w:t>—</w:t>
            </w:r>
          </w:p>
        </w:tc>
      </w:tr>
      <w:tr>
        <w:tc>
          <w:tcPr>
            <w:tcW w:type="dxa" w:w="2835"/>
            <w:shd w:val="clear" w:color="auto" w:fill="F2F2F2"/>
          </w:tcPr>
          <w:p>
            <w:pPr>
              <w:jc w:val="left"/>
            </w:pPr>
            <w:r>
              <w:rPr>
                <w:sz w:val="20"/>
              </w:rPr>
              <w:t>Relevancy (LLM-judge)</w:t>
            </w:r>
          </w:p>
        </w:tc>
        <w:tc>
          <w:tcPr>
            <w:tcW w:type="dxa" w:w="1984"/>
            <w:shd w:val="clear" w:color="auto" w:fill="F2F2F2"/>
          </w:tcPr>
          <w:p>
            <w:pPr>
              <w:jc w:val="center"/>
            </w:pPr>
            <w:r>
              <w:rPr>
                <w:sz w:val="20"/>
              </w:rPr>
              <w:t>0.5333</w:t>
            </w:r>
          </w:p>
        </w:tc>
        <w:tc>
          <w:tcPr>
            <w:tcW w:type="dxa" w:w="1701"/>
            <w:shd w:val="clear" w:color="auto" w:fill="F2F2F2"/>
          </w:tcPr>
          <w:p>
            <w:pPr>
              <w:jc w:val="center"/>
            </w:pPr>
            <w:r>
              <w:rPr>
                <w:sz w:val="20"/>
              </w:rPr>
              <w:t>0.6933</w:t>
            </w:r>
          </w:p>
        </w:tc>
        <w:tc>
          <w:tcPr>
            <w:tcW w:type="dxa" w:w="1701"/>
            <w:shd w:val="clear" w:color="auto" w:fill="F2F2F2"/>
          </w:tcPr>
          <w:p>
            <w:pPr>
              <w:jc w:val="center"/>
            </w:pPr>
            <w:r>
              <w:rPr>
                <w:sz w:val="20"/>
              </w:rPr>
              <w:t>+30%</w:t>
            </w:r>
          </w:p>
        </w:tc>
      </w:tr>
      <w:tr>
        <w:tc>
          <w:tcPr>
            <w:tcW w:type="dxa" w:w="2835"/>
          </w:tcPr>
          <w:p>
            <w:pPr>
              <w:jc w:val="left"/>
            </w:pPr>
            <w:r>
              <w:rPr>
                <w:sz w:val="20"/>
              </w:rPr>
              <w:t>Correctness (LLM-judge)</w:t>
            </w:r>
          </w:p>
        </w:tc>
        <w:tc>
          <w:tcPr>
            <w:tcW w:type="dxa" w:w="1984"/>
          </w:tcPr>
          <w:p>
            <w:pPr>
              <w:jc w:val="center"/>
            </w:pPr>
            <w:r>
              <w:rPr>
                <w:sz w:val="20"/>
              </w:rPr>
              <w:t>0.2133</w:t>
            </w:r>
          </w:p>
        </w:tc>
        <w:tc>
          <w:tcPr>
            <w:tcW w:type="dxa" w:w="1701"/>
          </w:tcPr>
          <w:p>
            <w:pPr>
              <w:jc w:val="center"/>
            </w:pPr>
            <w:r>
              <w:rPr>
                <w:sz w:val="20"/>
              </w:rPr>
              <w:t>0.3700</w:t>
            </w:r>
          </w:p>
        </w:tc>
        <w:tc>
          <w:tcPr>
            <w:tcW w:type="dxa" w:w="1701"/>
          </w:tcPr>
          <w:p>
            <w:pPr>
              <w:jc w:val="center"/>
            </w:pPr>
            <w:r>
              <w:rPr>
                <w:sz w:val="20"/>
              </w:rPr>
              <w:t>+73%</w:t>
            </w:r>
          </w:p>
        </w:tc>
      </w:tr>
      <w:tr>
        <w:tc>
          <w:tcPr>
            <w:tcW w:type="dxa" w:w="2835"/>
            <w:shd w:val="clear" w:color="auto" w:fill="F2F2F2"/>
          </w:tcPr>
          <w:p>
            <w:pPr>
              <w:jc w:val="left"/>
            </w:pPr>
            <w:r>
              <w:rPr>
                <w:sz w:val="20"/>
              </w:rPr>
              <w:t>Faithfulness (LLM-judge)</w:t>
            </w:r>
          </w:p>
        </w:tc>
        <w:tc>
          <w:tcPr>
            <w:tcW w:type="dxa" w:w="1984"/>
            <w:shd w:val="clear" w:color="auto" w:fill="F2F2F2"/>
          </w:tcPr>
          <w:p>
            <w:pPr>
              <w:jc w:val="center"/>
            </w:pPr>
            <w:r>
              <w:rPr>
                <w:sz w:val="20"/>
              </w:rPr>
              <w:t>N/A</w:t>
            </w:r>
          </w:p>
        </w:tc>
        <w:tc>
          <w:tcPr>
            <w:tcW w:type="dxa" w:w="1701"/>
            <w:shd w:val="clear" w:color="auto" w:fill="F2F2F2"/>
          </w:tcPr>
          <w:p>
            <w:pPr>
              <w:jc w:val="center"/>
            </w:pPr>
            <w:r>
              <w:rPr>
                <w:sz w:val="20"/>
              </w:rPr>
              <w:t>0.8200</w:t>
            </w:r>
          </w:p>
        </w:tc>
        <w:tc>
          <w:tcPr>
            <w:tcW w:type="dxa" w:w="1701"/>
            <w:shd w:val="clear" w:color="auto" w:fill="F2F2F2"/>
          </w:tcPr>
          <w:p>
            <w:pPr>
              <w:jc w:val="center"/>
            </w:pPr>
            <w:r>
              <w:rPr>
                <w:sz w:val="20"/>
              </w:rPr>
              <w:t>—</w:t>
            </w:r>
          </w:p>
        </w:tc>
      </w:tr>
    </w:tbl>
    <w:p/>
    <w:p>
      <w:r>
        <w:t>La Tabla 2 presenta las métricas exclusivas del componente de recuperación, que no tienen equivalente en el baseline por no existir un mecanismo de búsqueda de contexto.</w:t>
      </w:r>
    </w:p>
    <w:p>
      <w:pPr>
        <w:pStyle w:val="Caption"/>
      </w:pPr>
      <w:r>
        <w:t>Tabla 2. Métricas exclusivas del módulo de recuperación (RAG)</w:t>
      </w:r>
    </w:p>
    <w:tbl>
      <w:tblPr>
        <w:tblStyle w:val="TableGrid"/>
        <w:tblW w:type="auto" w:w="0"/>
        <w:jc w:val="center"/>
        <w:tblLook w:firstColumn="1" w:firstRow="1" w:lastColumn="0" w:lastRow="0" w:noHBand="0" w:noVBand="1" w:val="04A0"/>
      </w:tblPr>
      <w:tblGrid>
        <w:gridCol w:w="4320"/>
        <w:gridCol w:w="4320"/>
      </w:tblGrid>
      <w:tr>
        <w:tc>
          <w:tcPr>
            <w:tcW w:type="dxa" w:w="4535"/>
            <w:shd w:val="clear" w:color="auto" w:fill="1F3864"/>
          </w:tcPr>
          <w:p>
            <w:pPr>
              <w:jc w:val="center"/>
            </w:pPr>
            <w:r>
              <w:rPr>
                <w:b/>
                <w:color w:val="FFFFFF"/>
                <w:sz w:val="20"/>
              </w:rPr>
              <w:t>Métrica</w:t>
            </w:r>
          </w:p>
        </w:tc>
        <w:tc>
          <w:tcPr>
            <w:tcW w:type="dxa" w:w="2268"/>
            <w:shd w:val="clear" w:color="auto" w:fill="1F3864"/>
          </w:tcPr>
          <w:p>
            <w:pPr>
              <w:jc w:val="center"/>
            </w:pPr>
            <w:r>
              <w:rPr>
                <w:b/>
                <w:color w:val="FFFFFF"/>
                <w:sz w:val="20"/>
              </w:rPr>
              <w:t>Valor (con RAG)</w:t>
            </w:r>
          </w:p>
        </w:tc>
      </w:tr>
      <w:tr>
        <w:tc>
          <w:tcPr>
            <w:tcW w:type="dxa" w:w="4535"/>
          </w:tcPr>
          <w:p>
            <w:pPr>
              <w:jc w:val="left"/>
            </w:pPr>
            <w:r>
              <w:rPr>
                <w:sz w:val="20"/>
              </w:rPr>
              <w:t>Hit Rate</w:t>
            </w:r>
          </w:p>
        </w:tc>
        <w:tc>
          <w:tcPr>
            <w:tcW w:type="dxa" w:w="2268"/>
          </w:tcPr>
          <w:p>
            <w:pPr>
              <w:jc w:val="center"/>
            </w:pPr>
            <w:r>
              <w:rPr>
                <w:sz w:val="20"/>
              </w:rPr>
              <w:t>0.8667</w:t>
            </w:r>
          </w:p>
        </w:tc>
      </w:tr>
      <w:tr>
        <w:tc>
          <w:tcPr>
            <w:tcW w:type="dxa" w:w="4535"/>
            <w:shd w:val="clear" w:color="auto" w:fill="F2F2F2"/>
          </w:tcPr>
          <w:p>
            <w:pPr>
              <w:jc w:val="left"/>
            </w:pPr>
            <w:r>
              <w:rPr>
                <w:sz w:val="20"/>
              </w:rPr>
              <w:t>MRR (Mean Reciprocal Rank)</w:t>
            </w:r>
          </w:p>
        </w:tc>
        <w:tc>
          <w:tcPr>
            <w:tcW w:type="dxa" w:w="2268"/>
            <w:shd w:val="clear" w:color="auto" w:fill="F2F2F2"/>
          </w:tcPr>
          <w:p>
            <w:pPr>
              <w:jc w:val="center"/>
            </w:pPr>
            <w:r>
              <w:rPr>
                <w:sz w:val="20"/>
              </w:rPr>
              <w:t>0.7611</w:t>
            </w:r>
          </w:p>
        </w:tc>
      </w:tr>
      <w:tr>
        <w:tc>
          <w:tcPr>
            <w:tcW w:type="dxa" w:w="4535"/>
          </w:tcPr>
          <w:p>
            <w:pPr>
              <w:jc w:val="left"/>
            </w:pPr>
            <w:r>
              <w:rPr>
                <w:sz w:val="20"/>
              </w:rPr>
              <w:t>Recall@1</w:t>
            </w:r>
          </w:p>
        </w:tc>
        <w:tc>
          <w:tcPr>
            <w:tcW w:type="dxa" w:w="2268"/>
          </w:tcPr>
          <w:p>
            <w:pPr>
              <w:jc w:val="center"/>
            </w:pPr>
            <w:r>
              <w:rPr>
                <w:sz w:val="20"/>
              </w:rPr>
              <w:t>0.6667</w:t>
            </w:r>
          </w:p>
        </w:tc>
      </w:tr>
      <w:tr>
        <w:tc>
          <w:tcPr>
            <w:tcW w:type="dxa" w:w="4535"/>
            <w:shd w:val="clear" w:color="auto" w:fill="F2F2F2"/>
          </w:tcPr>
          <w:p>
            <w:pPr>
              <w:jc w:val="left"/>
            </w:pPr>
            <w:r>
              <w:rPr>
                <w:sz w:val="20"/>
              </w:rPr>
              <w:t>Recall@3</w:t>
            </w:r>
          </w:p>
        </w:tc>
        <w:tc>
          <w:tcPr>
            <w:tcW w:type="dxa" w:w="2268"/>
            <w:shd w:val="clear" w:color="auto" w:fill="F2F2F2"/>
          </w:tcPr>
          <w:p>
            <w:pPr>
              <w:jc w:val="center"/>
            </w:pPr>
            <w:r>
              <w:rPr>
                <w:sz w:val="20"/>
              </w:rPr>
              <w:t>0.8667</w:t>
            </w:r>
          </w:p>
        </w:tc>
      </w:tr>
      <w:tr>
        <w:tc>
          <w:tcPr>
            <w:tcW w:type="dxa" w:w="4535"/>
          </w:tcPr>
          <w:p>
            <w:pPr>
              <w:jc w:val="left"/>
            </w:pPr>
            <w:r>
              <w:rPr>
                <w:sz w:val="20"/>
              </w:rPr>
              <w:t>Recall@5</w:t>
            </w:r>
          </w:p>
        </w:tc>
        <w:tc>
          <w:tcPr>
            <w:tcW w:type="dxa" w:w="2268"/>
          </w:tcPr>
          <w:p>
            <w:pPr>
              <w:jc w:val="center"/>
            </w:pPr>
            <w:r>
              <w:rPr>
                <w:sz w:val="20"/>
              </w:rPr>
              <w:t>0.8667</w:t>
            </w:r>
          </w:p>
        </w:tc>
      </w:tr>
      <w:tr>
        <w:tc>
          <w:tcPr>
            <w:tcW w:type="dxa" w:w="4535"/>
            <w:shd w:val="clear" w:color="auto" w:fill="F2F2F2"/>
          </w:tcPr>
          <w:p>
            <w:pPr>
              <w:jc w:val="left"/>
            </w:pPr>
            <w:r>
              <w:rPr>
                <w:sz w:val="20"/>
              </w:rPr>
              <w:t>Recall@10</w:t>
            </w:r>
          </w:p>
        </w:tc>
        <w:tc>
          <w:tcPr>
            <w:tcW w:type="dxa" w:w="2268"/>
            <w:shd w:val="clear" w:color="auto" w:fill="F2F2F2"/>
          </w:tcPr>
          <w:p>
            <w:pPr>
              <w:jc w:val="center"/>
            </w:pPr>
            <w:r>
              <w:rPr>
                <w:sz w:val="20"/>
              </w:rPr>
              <w:t>0.8667</w:t>
            </w:r>
          </w:p>
        </w:tc>
      </w:tr>
      <w:tr>
        <w:tc>
          <w:tcPr>
            <w:tcW w:type="dxa" w:w="4535"/>
          </w:tcPr>
          <w:p>
            <w:pPr>
              <w:jc w:val="left"/>
            </w:pPr>
            <w:r>
              <w:rPr>
                <w:sz w:val="20"/>
              </w:rPr>
              <w:t>Context Recall</w:t>
            </w:r>
          </w:p>
        </w:tc>
        <w:tc>
          <w:tcPr>
            <w:tcW w:type="dxa" w:w="2268"/>
          </w:tcPr>
          <w:p>
            <w:pPr>
              <w:jc w:val="center"/>
            </w:pPr>
            <w:r>
              <w:rPr>
                <w:sz w:val="20"/>
              </w:rPr>
              <w:t>0.6862</w:t>
            </w:r>
          </w:p>
        </w:tc>
      </w:tr>
    </w:tbl>
    <w:p/>
    <w:p>
      <w:pPr>
        <w:pStyle w:val="Heading2"/>
      </w:pPr>
      <w:r>
        <w:rPr>
          <w:color w:val="1F3864"/>
        </w:rPr>
        <w:t>Interpretación de los resultados</w:t>
      </w:r>
    </w:p>
    <w:p>
      <w:pPr>
        <w:pStyle w:val="ListBullet"/>
      </w:pPr>
      <w:r>
        <w:t>Faithfulness = 0.82: el 82% de las afirmaciones del modelo con RAG están efectivamente respaldadas por los documentos recuperados, evidencia directa de reducción de alucinación frente al baseline.</w:t>
      </w:r>
    </w:p>
    <w:p>
      <w:pPr>
        <w:pStyle w:val="ListBullet"/>
      </w:pPr>
      <w:r>
        <w:t>Correctness sube de 0.21 a 0.37 (+73%): con RAG el sistema acierta el contenido correcto casi el doble de veces que sin RAG, aunque el valor absoluto sigue siendo moderado.</w:t>
      </w:r>
    </w:p>
    <w:p>
      <w:pPr>
        <w:pStyle w:val="ListBullet"/>
      </w:pPr>
      <w:r>
        <w:t>Relevancy sube de 0.53 a 0.69 (+30%): el baseline ya "suena" relevante aunque el contenido sea incorrecto (alucina con seguridad), lo que confirma que relevancy por sí sola no basta para validar un sistema — debe leerse junto con correctness y faithfulness.</w:t>
      </w:r>
    </w:p>
    <w:p>
      <w:pPr>
        <w:pStyle w:val="ListBullet"/>
      </w:pPr>
      <w:r>
        <w:t>Hit Rate = 0.87 y MRR = 0.76: el módulo de recuperación (FAISS + embeddings multilingües) localiza el fragmento relevante en la mayoría de las consultas, típicamente en las primeras posiciones.</w:t>
      </w:r>
    </w:p>
    <w:p>
      <w:pPr>
        <w:pStyle w:val="ListBullet"/>
      </w:pPr>
      <w:r>
        <w:t>Las métricas ROUGE/BLEU se mantienen moderadas incluso con RAG porque el LLM redacta respuestas conversacionales propias en vez de copiar literalmente el texto fuente — es un comportamiento esperado en generación aumentada y no indica necesariamente una respuesta incorrecta.</w:t>
      </w:r>
    </w:p>
    <w:p/>
    <w:p>
      <w:r>
        <w:rPr>
          <w:i/>
          <w:color w:val="595959"/>
          <w:sz w:val="19"/>
        </w:rPr>
        <w:t>Limitación metodológica: el juez LLM utiliza el mismo modelo (LLaMA 3.3 70B) que en ocasiones generó la respuesta evaluada, lo que introduce un riesgo de sesgo de autoevaluación. Se recomienda declarar esta limitación explícitamente y, de ser posible, validar una submuestra con un juez de un proveedor independiente (p. ej. Gemini o Claude) en trabajo futuro.</w:t>
      </w:r>
    </w:p>
    <w:p>
      <w:r>
        <w:br w:type="page"/>
      </w:r>
    </w:p>
    <w:p>
      <w:pPr>
        <w:pStyle w:val="Heading1"/>
      </w:pPr>
      <w:r>
        <w:rPr>
          <w:color w:val="1F3864"/>
        </w:rPr>
        <w:t>Anexo A. Comparación con benchmark autogenerado (50 preguntas)</w:t>
      </w:r>
    </w:p>
    <w:p>
      <w:r>
        <w:t>Como evidencia adicional sobre la sensibilidad del sistema a la calidad de la consulta, se evaluó también un benchmark de 50 preguntas generadas automáticamente a partir de fragmentos de texto (formato "¿Puedes explicar lo siguiente sobre iTimeControl: [fragmento]?"), que no reflejan el fraseo natural de un usuario real.</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1F3864"/>
          </w:tcPr>
          <w:p>
            <w:pPr>
              <w:jc w:val="center"/>
            </w:pPr>
            <w:r>
              <w:rPr>
                <w:b/>
                <w:color w:val="FFFFFF"/>
                <w:sz w:val="20"/>
              </w:rPr>
              <w:t>Métrica</w:t>
            </w:r>
          </w:p>
        </w:tc>
        <w:tc>
          <w:tcPr>
            <w:tcW w:type="dxa" w:w="3118"/>
            <w:shd w:val="clear" w:color="auto" w:fill="1F3864"/>
          </w:tcPr>
          <w:p>
            <w:pPr>
              <w:jc w:val="center"/>
            </w:pPr>
            <w:r>
              <w:rPr>
                <w:b/>
                <w:color w:val="FFFFFF"/>
                <w:sz w:val="20"/>
              </w:rPr>
              <w:t>Benchmark autogenerado (n=50)</w:t>
            </w:r>
          </w:p>
        </w:tc>
        <w:tc>
          <w:tcPr>
            <w:tcW w:type="dxa" w:w="2551"/>
            <w:shd w:val="clear" w:color="auto" w:fill="1F3864"/>
          </w:tcPr>
          <w:p>
            <w:pPr>
              <w:jc w:val="center"/>
            </w:pPr>
            <w:r>
              <w:rPr>
                <w:b/>
                <w:color w:val="FFFFFF"/>
                <w:sz w:val="20"/>
              </w:rPr>
              <w:t>Set curado natural (n=30)</w:t>
            </w:r>
          </w:p>
        </w:tc>
      </w:tr>
      <w:tr>
        <w:tc>
          <w:tcPr>
            <w:tcW w:type="dxa" w:w="2835"/>
          </w:tcPr>
          <w:p>
            <w:pPr>
              <w:jc w:val="left"/>
            </w:pPr>
            <w:r>
              <w:rPr>
                <w:sz w:val="20"/>
              </w:rPr>
              <w:t>Hit Rate</w:t>
            </w:r>
          </w:p>
        </w:tc>
        <w:tc>
          <w:tcPr>
            <w:tcW w:type="dxa" w:w="3118"/>
          </w:tcPr>
          <w:p>
            <w:pPr>
              <w:jc w:val="center"/>
            </w:pPr>
            <w:r>
              <w:rPr>
                <w:sz w:val="20"/>
              </w:rPr>
              <w:t>0.30</w:t>
            </w:r>
          </w:p>
        </w:tc>
        <w:tc>
          <w:tcPr>
            <w:tcW w:type="dxa" w:w="2551"/>
          </w:tcPr>
          <w:p>
            <w:pPr>
              <w:jc w:val="center"/>
            </w:pPr>
            <w:r>
              <w:rPr>
                <w:sz w:val="20"/>
              </w:rPr>
              <w:t>0.87</w:t>
            </w:r>
          </w:p>
        </w:tc>
      </w:tr>
      <w:tr>
        <w:tc>
          <w:tcPr>
            <w:tcW w:type="dxa" w:w="2835"/>
            <w:shd w:val="clear" w:color="auto" w:fill="F2F2F2"/>
          </w:tcPr>
          <w:p>
            <w:pPr>
              <w:jc w:val="left"/>
            </w:pPr>
            <w:r>
              <w:rPr>
                <w:sz w:val="20"/>
              </w:rPr>
              <w:t>Context Recall</w:t>
            </w:r>
          </w:p>
        </w:tc>
        <w:tc>
          <w:tcPr>
            <w:tcW w:type="dxa" w:w="3118"/>
            <w:shd w:val="clear" w:color="auto" w:fill="F2F2F2"/>
          </w:tcPr>
          <w:p>
            <w:pPr>
              <w:jc w:val="center"/>
            </w:pPr>
            <w:r>
              <w:rPr>
                <w:sz w:val="20"/>
              </w:rPr>
              <w:t>0.40</w:t>
            </w:r>
          </w:p>
        </w:tc>
        <w:tc>
          <w:tcPr>
            <w:tcW w:type="dxa" w:w="2551"/>
            <w:shd w:val="clear" w:color="auto" w:fill="F2F2F2"/>
          </w:tcPr>
          <w:p>
            <w:pPr>
              <w:jc w:val="center"/>
            </w:pPr>
            <w:r>
              <w:rPr>
                <w:sz w:val="20"/>
              </w:rPr>
              <w:t>0.69</w:t>
            </w:r>
          </w:p>
        </w:tc>
      </w:tr>
      <w:tr>
        <w:tc>
          <w:tcPr>
            <w:tcW w:type="dxa" w:w="2835"/>
          </w:tcPr>
          <w:p>
            <w:pPr>
              <w:jc w:val="left"/>
            </w:pPr>
            <w:r>
              <w:rPr>
                <w:sz w:val="20"/>
              </w:rPr>
              <w:t>MRR</w:t>
            </w:r>
          </w:p>
        </w:tc>
        <w:tc>
          <w:tcPr>
            <w:tcW w:type="dxa" w:w="3118"/>
          </w:tcPr>
          <w:p>
            <w:pPr>
              <w:jc w:val="center"/>
            </w:pPr>
            <w:r>
              <w:rPr>
                <w:sz w:val="20"/>
              </w:rPr>
              <w:t>0.21</w:t>
            </w:r>
          </w:p>
        </w:tc>
        <w:tc>
          <w:tcPr>
            <w:tcW w:type="dxa" w:w="2551"/>
          </w:tcPr>
          <w:p>
            <w:pPr>
              <w:jc w:val="center"/>
            </w:pPr>
            <w:r>
              <w:rPr>
                <w:sz w:val="20"/>
              </w:rPr>
              <w:t>0.76</w:t>
            </w:r>
          </w:p>
        </w:tc>
      </w:tr>
      <w:tr>
        <w:tc>
          <w:tcPr>
            <w:tcW w:type="dxa" w:w="2835"/>
            <w:shd w:val="clear" w:color="auto" w:fill="F2F2F2"/>
          </w:tcPr>
          <w:p>
            <w:pPr>
              <w:jc w:val="left"/>
            </w:pPr>
            <w:r>
              <w:rPr>
                <w:sz w:val="20"/>
              </w:rPr>
              <w:t>Recall@5</w:t>
            </w:r>
          </w:p>
        </w:tc>
        <w:tc>
          <w:tcPr>
            <w:tcW w:type="dxa" w:w="3118"/>
            <w:shd w:val="clear" w:color="auto" w:fill="F2F2F2"/>
          </w:tcPr>
          <w:p>
            <w:pPr>
              <w:jc w:val="center"/>
            </w:pPr>
            <w:r>
              <w:rPr>
                <w:sz w:val="20"/>
              </w:rPr>
              <w:t>0.30</w:t>
            </w:r>
          </w:p>
        </w:tc>
        <w:tc>
          <w:tcPr>
            <w:tcW w:type="dxa" w:w="2551"/>
            <w:shd w:val="clear" w:color="auto" w:fill="F2F2F2"/>
          </w:tcPr>
          <w:p>
            <w:pPr>
              <w:jc w:val="center"/>
            </w:pPr>
            <w:r>
              <w:rPr>
                <w:sz w:val="20"/>
              </w:rPr>
              <w:t>0.87</w:t>
            </w:r>
          </w:p>
        </w:tc>
      </w:tr>
      <w:tr>
        <w:tc>
          <w:tcPr>
            <w:tcW w:type="dxa" w:w="2835"/>
          </w:tcPr>
          <w:p>
            <w:pPr>
              <w:jc w:val="left"/>
            </w:pPr>
            <w:r>
              <w:rPr>
                <w:sz w:val="20"/>
              </w:rPr>
              <w:t>ROUGE-1</w:t>
            </w:r>
          </w:p>
        </w:tc>
        <w:tc>
          <w:tcPr>
            <w:tcW w:type="dxa" w:w="3118"/>
          </w:tcPr>
          <w:p>
            <w:pPr>
              <w:jc w:val="center"/>
            </w:pPr>
            <w:r>
              <w:rPr>
                <w:sz w:val="20"/>
              </w:rPr>
              <w:t>0.278</w:t>
            </w:r>
          </w:p>
        </w:tc>
        <w:tc>
          <w:tcPr>
            <w:tcW w:type="dxa" w:w="2551"/>
          </w:tcPr>
          <w:p>
            <w:pPr>
              <w:jc w:val="center"/>
            </w:pPr>
            <w:r>
              <w:rPr>
                <w:sz w:val="20"/>
              </w:rPr>
              <w:t>0.212</w:t>
            </w:r>
          </w:p>
        </w:tc>
      </w:tr>
      <w:tr>
        <w:tc>
          <w:tcPr>
            <w:tcW w:type="dxa" w:w="2835"/>
            <w:shd w:val="clear" w:color="auto" w:fill="F2F2F2"/>
          </w:tcPr>
          <w:p>
            <w:pPr>
              <w:jc w:val="left"/>
            </w:pPr>
            <w:r>
              <w:rPr>
                <w:sz w:val="20"/>
              </w:rPr>
              <w:t>BLEU</w:t>
            </w:r>
          </w:p>
        </w:tc>
        <w:tc>
          <w:tcPr>
            <w:tcW w:type="dxa" w:w="3118"/>
            <w:shd w:val="clear" w:color="auto" w:fill="F2F2F2"/>
          </w:tcPr>
          <w:p>
            <w:pPr>
              <w:jc w:val="center"/>
            </w:pPr>
            <w:r>
              <w:rPr>
                <w:sz w:val="20"/>
              </w:rPr>
              <w:t>0.061</w:t>
            </w:r>
          </w:p>
        </w:tc>
        <w:tc>
          <w:tcPr>
            <w:tcW w:type="dxa" w:w="2551"/>
            <w:shd w:val="clear" w:color="auto" w:fill="F2F2F2"/>
          </w:tcPr>
          <w:p>
            <w:pPr>
              <w:jc w:val="center"/>
            </w:pPr>
            <w:r>
              <w:rPr>
                <w:sz w:val="20"/>
              </w:rPr>
              <w:t>0.090</w:t>
            </w:r>
          </w:p>
        </w:tc>
      </w:tr>
    </w:tbl>
    <w:p>
      <w:r>
        <w:rPr>
          <w:i/>
          <w:color w:val="595959"/>
          <w:sz w:val="19"/>
        </w:rPr>
        <w:t>Hallazgo relevante para la discusión: el módulo de recuperación es notablemente más efectivo con preguntas naturales que con fragmentos artificiales, lo que sugiere que la calidad/naturalidad de la consulta del usuario impacta directamente el desempeño del sistema RAG.</w:t>
      </w:r>
    </w:p>
    <w:p>
      <w:r>
        <w:br w:type="page"/>
      </w:r>
    </w:p>
    <w:p>
      <w:pPr>
        <w:pStyle w:val="Heading1"/>
      </w:pPr>
      <w:r>
        <w:rPr>
          <w:color w:val="1F3864"/>
        </w:rPr>
        <w:t>Matriz de Consistencia</w:t>
      </w:r>
    </w:p>
    <w:p>
      <w:r>
        <w:rPr>
          <w:i/>
        </w:rPr>
        <w:t>Título: Implementación de un modelo basado en Retrieval-Augmented Generation (RAG) para mejorar la calidad de las respuestas a consultas operativas del Sistema iTimeControl</w:t>
      </w:r>
    </w:p>
    <w:tbl>
      <w:tblPr>
        <w:tblStyle w:val="TableGrid"/>
        <w:tblW w:type="auto" w:w="0"/>
        <w:tblLook w:firstColumn="1" w:firstRow="1" w:lastColumn="0" w:lastRow="0" w:noHBand="0" w:noVBand="1" w:val="04A0"/>
      </w:tblPr>
      <w:tblGrid>
        <w:gridCol w:w="2880"/>
        <w:gridCol w:w="2880"/>
        <w:gridCol w:w="2880"/>
      </w:tblGrid>
      <w:tr>
        <w:tc>
          <w:tcPr>
            <w:tcW w:type="dxa" w:w="3402"/>
            <w:shd w:val="clear" w:color="auto" w:fill="1F3864"/>
          </w:tcPr>
          <w:p>
            <w:pPr>
              <w:jc w:val="center"/>
            </w:pPr>
            <w:r>
              <w:rPr>
                <w:b/>
                <w:color w:val="FFFFFF"/>
                <w:sz w:val="20"/>
              </w:rPr>
              <w:t>Problema</w:t>
            </w:r>
          </w:p>
        </w:tc>
        <w:tc>
          <w:tcPr>
            <w:tcW w:type="dxa" w:w="3402"/>
            <w:shd w:val="clear" w:color="auto" w:fill="1F3864"/>
          </w:tcPr>
          <w:p>
            <w:pPr>
              <w:jc w:val="center"/>
            </w:pPr>
            <w:r>
              <w:rPr>
                <w:b/>
                <w:color w:val="FFFFFF"/>
                <w:sz w:val="20"/>
              </w:rPr>
              <w:t>Objetivos</w:t>
            </w:r>
          </w:p>
        </w:tc>
        <w:tc>
          <w:tcPr>
            <w:tcW w:type="dxa" w:w="3402"/>
            <w:shd w:val="clear" w:color="auto" w:fill="1F3864"/>
          </w:tcPr>
          <w:p>
            <w:pPr>
              <w:jc w:val="center"/>
            </w:pPr>
            <w:r>
              <w:rPr>
                <w:b/>
                <w:color w:val="FFFFFF"/>
                <w:sz w:val="20"/>
              </w:rPr>
              <w:t>Hipótesis</w:t>
            </w:r>
          </w:p>
        </w:tc>
      </w:tr>
      <w:tr>
        <w:tc>
          <w:tcPr>
            <w:tcW w:type="dxa" w:w="3402"/>
          </w:tcPr>
          <w:p>
            <w:r>
              <w:rPr>
                <w:sz w:val="19"/>
              </w:rPr>
              <w:t>General: ¿En qué medida la implementación de un modelo basado en RAG mejora la calidad de las respuestas a consultas operativas del Sistema iTimeControl?</w:t>
            </w:r>
          </w:p>
        </w:tc>
        <w:tc>
          <w:tcPr>
            <w:tcW w:type="dxa" w:w="3402"/>
          </w:tcPr>
          <w:p>
            <w:r>
              <w:rPr>
                <w:sz w:val="19"/>
              </w:rPr>
              <w:t>General: Implementar un modelo basado en Retrieval-Augmented Generation (RAG) para mejorar la calidad de las respuestas a consultas operativas del Sistema iTimeControl.</w:t>
            </w:r>
          </w:p>
        </w:tc>
        <w:tc>
          <w:tcPr>
            <w:tcW w:type="dxa" w:w="3402"/>
          </w:tcPr>
          <w:p>
            <w:r>
              <w:rPr>
                <w:sz w:val="19"/>
              </w:rPr>
              <w:t>General: La implementación de un modelo basado en RAG mejora significativamente la calidad de las respuestas a consultas operativas del Sistema iTimeControl, en comparación con un modelo sin capacidad de recuperación de información.</w:t>
            </w:r>
          </w:p>
        </w:tc>
      </w:tr>
      <w:tr>
        <w:tc>
          <w:tcPr>
            <w:tcW w:type="dxa" w:w="3402"/>
            <w:shd w:val="clear" w:color="auto" w:fill="F2F2F2"/>
          </w:tcPr>
          <w:p>
            <w:r>
              <w:rPr>
                <w:sz w:val="19"/>
              </w:rPr>
              <w:t>PE1: ¿En qué medida el modelo RAG mejora la precisión (correctness) de las respuestas frente a un modelo sin RAG?</w:t>
            </w:r>
          </w:p>
        </w:tc>
        <w:tc>
          <w:tcPr>
            <w:tcW w:type="dxa" w:w="3402"/>
            <w:shd w:val="clear" w:color="auto" w:fill="F2F2F2"/>
          </w:tcPr>
          <w:p>
            <w:r>
              <w:rPr>
                <w:sz w:val="19"/>
              </w:rPr>
              <w:t>OE1: Determinar el nivel de mejora en la precisión de las respuestas generadas por el modelo RAG respecto a un modelo baseline sin RAG.</w:t>
            </w:r>
          </w:p>
        </w:tc>
        <w:tc>
          <w:tcPr>
            <w:tcW w:type="dxa" w:w="3402"/>
            <w:shd w:val="clear" w:color="auto" w:fill="F2F2F2"/>
          </w:tcPr>
          <w:p>
            <w:r>
              <w:rPr>
                <w:sz w:val="19"/>
              </w:rPr>
              <w:t>HE1: El modelo RAG presenta un nivel de precisión (correctness) significativamente mayor que el modelo baseline sin RAG.</w:t>
            </w:r>
          </w:p>
        </w:tc>
      </w:tr>
      <w:tr>
        <w:tc>
          <w:tcPr>
            <w:tcW w:type="dxa" w:w="3402"/>
          </w:tcPr>
          <w:p>
            <w:r>
              <w:rPr>
                <w:sz w:val="19"/>
              </w:rPr>
              <w:t>PE2: ¿En qué medida el módulo de recuperación del modelo RAG identifica correctamente los fragmentos documentales relevantes a la consulta?</w:t>
            </w:r>
          </w:p>
        </w:tc>
        <w:tc>
          <w:tcPr>
            <w:tcW w:type="dxa" w:w="3402"/>
          </w:tcPr>
          <w:p>
            <w:r>
              <w:rPr>
                <w:sz w:val="19"/>
              </w:rPr>
              <w:t>OE2: Evaluar la efectividad del módulo de recuperación de información del modelo RAG mediante métricas de Hit Rate, MRR y Recall@K.</w:t>
            </w:r>
          </w:p>
        </w:tc>
        <w:tc>
          <w:tcPr>
            <w:tcW w:type="dxa" w:w="3402"/>
          </w:tcPr>
          <w:p>
            <w:r>
              <w:rPr>
                <w:sz w:val="19"/>
              </w:rPr>
              <w:t>HE2: El módulo de recuperación del modelo RAG identifica los fragmentos relevantes con una tasa de acierto (Hit Rate) superior al 80%.</w:t>
            </w:r>
          </w:p>
        </w:tc>
      </w:tr>
      <w:tr>
        <w:tc>
          <w:tcPr>
            <w:tcW w:type="dxa" w:w="3402"/>
            <w:shd w:val="clear" w:color="auto" w:fill="F2F2F2"/>
          </w:tcPr>
          <w:p>
            <w:r>
              <w:rPr>
                <w:sz w:val="19"/>
              </w:rPr>
              <w:t>PE3: ¿En qué medida las respuestas generadas por el modelo RAG están fundamentadas en el contexto documental recuperado?</w:t>
            </w:r>
          </w:p>
        </w:tc>
        <w:tc>
          <w:tcPr>
            <w:tcW w:type="dxa" w:w="3402"/>
            <w:shd w:val="clear" w:color="auto" w:fill="F2F2F2"/>
          </w:tcPr>
          <w:p>
            <w:r>
              <w:rPr>
                <w:sz w:val="19"/>
              </w:rPr>
              <w:t>OE3: Evaluar el grado de fundamentación (faithfulness) y relevancia de las respuestas del modelo RAG mediante evaluación LLM-as-judge.</w:t>
            </w:r>
          </w:p>
        </w:tc>
        <w:tc>
          <w:tcPr>
            <w:tcW w:type="dxa" w:w="3402"/>
            <w:shd w:val="clear" w:color="auto" w:fill="F2F2F2"/>
          </w:tcPr>
          <w:p>
            <w:r>
              <w:rPr>
                <w:sz w:val="19"/>
              </w:rPr>
              <w:t>HE3: Las respuestas generadas por el modelo RAG presentan un nivel de fundamentación documental (faithfulness) superior al 75%.</w:t>
            </w:r>
          </w:p>
        </w:tc>
      </w:tr>
    </w:tbl>
    <w:p/>
    <w:p>
      <w:pPr>
        <w:pStyle w:val="Heading2"/>
      </w:pPr>
      <w:r>
        <w:rPr>
          <w:color w:val="1F3864"/>
        </w:rPr>
        <w:t>Variables e indicadores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1F3864"/>
          </w:tcPr>
          <w:p>
            <w:pPr>
              <w:jc w:val="center"/>
            </w:pPr>
            <w:r>
              <w:rPr>
                <w:b/>
                <w:color w:val="FFFFFF"/>
                <w:sz w:val="20"/>
              </w:rPr>
              <w:t>Variable</w:t>
            </w:r>
          </w:p>
        </w:tc>
        <w:tc>
          <w:tcPr>
            <w:tcW w:type="dxa" w:w="1417"/>
            <w:shd w:val="clear" w:color="auto" w:fill="1F3864"/>
          </w:tcPr>
          <w:p>
            <w:pPr>
              <w:jc w:val="center"/>
            </w:pPr>
            <w:r>
              <w:rPr>
                <w:b/>
                <w:color w:val="FFFFFF"/>
                <w:sz w:val="20"/>
              </w:rPr>
              <w:t>Tipo</w:t>
            </w:r>
          </w:p>
        </w:tc>
        <w:tc>
          <w:tcPr>
            <w:tcW w:type="dxa" w:w="2835"/>
            <w:shd w:val="clear" w:color="auto" w:fill="1F3864"/>
          </w:tcPr>
          <w:p>
            <w:pPr>
              <w:jc w:val="center"/>
            </w:pPr>
            <w:r>
              <w:rPr>
                <w:b/>
                <w:color w:val="FFFFFF"/>
                <w:sz w:val="20"/>
              </w:rPr>
              <w:t>Dimensiones</w:t>
            </w:r>
          </w:p>
        </w:tc>
        <w:tc>
          <w:tcPr>
            <w:tcW w:type="dxa" w:w="3685"/>
            <w:shd w:val="clear" w:color="auto" w:fill="1F3864"/>
          </w:tcPr>
          <w:p>
            <w:pPr>
              <w:jc w:val="center"/>
            </w:pPr>
            <w:r>
              <w:rPr>
                <w:b/>
                <w:color w:val="FFFFFF"/>
                <w:sz w:val="20"/>
              </w:rPr>
              <w:t>Indicadores</w:t>
            </w:r>
          </w:p>
        </w:tc>
      </w:tr>
      <w:tr>
        <w:tc>
          <w:tcPr>
            <w:tcW w:type="dxa" w:w="2268"/>
          </w:tcPr>
          <w:p>
            <w:pPr>
              <w:jc w:val="left"/>
            </w:pPr>
            <w:r>
              <w:rPr>
                <w:sz w:val="20"/>
              </w:rPr>
              <w:t>Implementación del modelo RAG</w:t>
            </w:r>
          </w:p>
        </w:tc>
        <w:tc>
          <w:tcPr>
            <w:tcW w:type="dxa" w:w="1417"/>
          </w:tcPr>
          <w:p>
            <w:pPr>
              <w:jc w:val="center"/>
            </w:pPr>
            <w:r>
              <w:rPr>
                <w:sz w:val="20"/>
              </w:rPr>
              <w:t>Independiente</w:t>
            </w:r>
          </w:p>
        </w:tc>
        <w:tc>
          <w:tcPr>
            <w:tcW w:type="dxa" w:w="2835"/>
          </w:tcPr>
          <w:p>
            <w:pPr>
              <w:jc w:val="center"/>
            </w:pPr>
            <w:r>
              <w:rPr>
                <w:sz w:val="20"/>
              </w:rPr>
              <w:t>Módulo de recuperación · Módulo de generación aumentada</w:t>
            </w:r>
          </w:p>
        </w:tc>
        <w:tc>
          <w:tcPr>
            <w:tcW w:type="dxa" w:w="3685"/>
          </w:tcPr>
          <w:p>
            <w:pPr>
              <w:jc w:val="center"/>
            </w:pPr>
            <w:r>
              <w:rPr>
                <w:sz w:val="20"/>
              </w:rPr>
              <w:t>N.º de chunks indexados · Dimensión de embeddings · Top-k de recuperación · Modelo generador</w:t>
            </w:r>
          </w:p>
        </w:tc>
      </w:tr>
      <w:tr>
        <w:tc>
          <w:tcPr>
            <w:tcW w:type="dxa" w:w="2268"/>
            <w:shd w:val="clear" w:color="auto" w:fill="F2F2F2"/>
          </w:tcPr>
          <w:p>
            <w:pPr>
              <w:jc w:val="left"/>
            </w:pPr>
            <w:r>
              <w:rPr>
                <w:sz w:val="20"/>
              </w:rPr>
              <w:t>Calidad de las respuestas a consultas operativas</w:t>
            </w:r>
          </w:p>
        </w:tc>
        <w:tc>
          <w:tcPr>
            <w:tcW w:type="dxa" w:w="1417"/>
            <w:shd w:val="clear" w:color="auto" w:fill="F2F2F2"/>
          </w:tcPr>
          <w:p>
            <w:pPr>
              <w:jc w:val="center"/>
            </w:pPr>
            <w:r>
              <w:rPr>
                <w:sz w:val="20"/>
              </w:rPr>
              <w:t>Dependiente</w:t>
            </w:r>
          </w:p>
        </w:tc>
        <w:tc>
          <w:tcPr>
            <w:tcW w:type="dxa" w:w="2835"/>
            <w:shd w:val="clear" w:color="auto" w:fill="F2F2F2"/>
          </w:tcPr>
          <w:p>
            <w:pPr>
              <w:jc w:val="center"/>
            </w:pPr>
            <w:r>
              <w:rPr>
                <w:sz w:val="20"/>
              </w:rPr>
              <w:t>Precisión · Relevancia · Fundamentación documental · Efectividad de recuperación · Similitud léxica</w:t>
            </w:r>
          </w:p>
        </w:tc>
        <w:tc>
          <w:tcPr>
            <w:tcW w:type="dxa" w:w="3685"/>
            <w:shd w:val="clear" w:color="auto" w:fill="F2F2F2"/>
          </w:tcPr>
          <w:p>
            <w:pPr>
              <w:jc w:val="center"/>
            </w:pPr>
            <w:r>
              <w:rPr>
                <w:sz w:val="20"/>
              </w:rPr>
              <w:t>Correctness · Relevancy · Faithfulness (LLM-judge) · Hit Rate, MRR, Recall@K · ROUGE-1/2/L, BLEU, Exact Match</w:t>
            </w:r>
          </w:p>
        </w:tc>
      </w:tr>
    </w:tbl>
    <w:p/>
    <w:p>
      <w:pPr>
        <w:pStyle w:val="Heading2"/>
      </w:pPr>
      <w:r>
        <w:rPr>
          <w:color w:val="1F3864"/>
        </w:rPr>
        <w:t>Metodología (síntesis)</w:t>
      </w:r>
    </w:p>
    <w:p>
      <w:pPr>
        <w:pStyle w:val="ListBullet"/>
      </w:pPr>
      <w:r>
        <w:t>Tipo: aplicada, con enfoque cuantitativo.</w:t>
      </w:r>
    </w:p>
    <w:p>
      <w:pPr>
        <w:pStyle w:val="ListBullet"/>
      </w:pPr>
      <w:r>
        <w:t>Diseño: pre-experimental, de un solo grupo con medición pre-prueba y post-prueba (G: O₁ → X → O₂), donde O₁ = métricas del modelo baseline (sin RAG), X = implementación del componente RAG, O₂ = métricas del modelo con RAG.</w:t>
      </w:r>
    </w:p>
    <w:p>
      <w:pPr>
        <w:pStyle w:val="ListBullet"/>
      </w:pPr>
      <w:r>
        <w:t>Población: corpus documental oficial del Sistema iTimeControl (manual de usuario, FAQ, guías de RRHH, normativa laboral peruana) — 1,058 fragmentos indexados.</w:t>
      </w:r>
    </w:p>
    <w:p>
      <w:pPr>
        <w:pStyle w:val="ListBullet"/>
      </w:pPr>
      <w:r>
        <w:t>Muestra: 30 preguntas operativas naturales extraídas del FAQ oficial del producto (muestreo no probabilístico por conveniencia/documental).</w:t>
      </w:r>
    </w:p>
    <w:p>
      <w:pPr>
        <w:pStyle w:val="ListBullet"/>
      </w:pPr>
      <w:r>
        <w:t>Técnicas e instrumentos: evaluación automática de métricas de texto (ROUGE, BLEU, Exact Match), evaluación de recuperación (Hit Rate, MRR, Recall@K) y evaluación LLM-as-judge (faithfulness, relevancy, correctness) sobre resultados generados por el pipeline implementado.</w:t>
      </w:r>
    </w:p>
    <w:p/>
    <w:p>
      <w:r>
        <w:rPr>
          <w:i/>
          <w:color w:val="595959"/>
          <w:sz w:val="19"/>
        </w:rPr>
        <w:t>Nota metodológica: con n=30 y un diseño pre-experimental de un solo grupo, los resultados no permiten establecer significancia estadística inferencial (no hay grupo de control independiente ni prueba de hipótesis con p-valor). Se recomienda declarar esta limitación explícitamente en el capítulo de metodología.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