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3157"/>
          <w:sz w:val="32"/>
          <w:szCs w:val="32"/>
        </w:rPr>
        <w:t xml:space="preserve">[Report Title — e.g., Maternal Mortality in [Country], 2022–2027: A District-Level Analysis]</w:t>
      </w:r>
    </w:p>
    <w:p>
      <w:pPr>
        <w:spacing w:after="400"/>
      </w:pPr>
      <w:r>
        <w:rPr>
          <w:i/>
          <w:iCs/>
          <w:color w:val="666666"/>
          <w:sz w:val="20"/>
          <w:szCs w:val="20"/>
        </w:rPr>
        <w:t xml:space="preserve">[Country] · [Topic Team Name] · [Month Year]</w:t>
      </w:r>
    </w:p>
    <w:p>
      <w:pPr>
        <w:pStyle w:val="Heading1"/>
        <w:spacing w:after="140" w:before="280"/>
      </w:pPr>
      <w:r>
        <w:t xml:space="preserve">Executive Summary</w:t>
      </w:r>
    </w:p>
    <w:p>
      <w:pPr>
        <w:spacing w:after="160"/>
      </w:pPr>
      <w:r>
        <w:rPr>
          <w:b/>
          <w:bCs/>
          <w:i/>
          <w:iCs/>
          <w:color w:val="C98A2C"/>
        </w:rPr>
        <w:t xml:space="preserve">Guidance: </w:t>
      </w:r>
      <w:r>
        <w:rPr>
          <w:i/>
          <w:iCs/>
          <w:color w:val="666666"/>
        </w:rPr>
        <w:t xml:space="preserve">Inverted pyramid: lead with the single most decision-relevant finding in the first sentence, in plain active-voice language, then layer supporting detail. Keep this to one paragraph.</w:t>
      </w:r>
    </w:p>
    <w:p>
      <w:pPr>
        <w:spacing w:after="200"/>
      </w:pPr>
      <w:r>
        <w:rPr>
          <w:i/>
          <w:iCs/>
          <w:color w:val="999999"/>
        </w:rPr>
        <w:t xml:space="preserve">[Draft your one-paragraph Executive Summary here, leading with your strongest finding.]</w:t>
      </w:r>
    </w:p>
    <w:p>
      <w:r>
        <w:br w:type="page"/>
      </w:r>
    </w:p>
    <w:p>
      <w:pPr>
        <w:pStyle w:val="Heading1"/>
        <w:spacing w:after="140" w:before="280"/>
      </w:pPr>
      <w:r>
        <w:t xml:space="preserve">1. Introduction — Background &amp; Objectives</w:t>
      </w:r>
    </w:p>
    <w:p>
      <w:pPr>
        <w:spacing w:after="160"/>
      </w:pPr>
      <w:r>
        <w:rPr>
          <w:b/>
          <w:bCs/>
          <w:i/>
          <w:iCs/>
          <w:color w:val="C98A2C"/>
        </w:rPr>
        <w:t xml:space="preserve">Guidance: </w:t>
      </w:r>
      <w:r>
        <w:rPr>
          <w:i/>
          <w:iCs/>
          <w:color w:val="666666"/>
        </w:rPr>
        <w:t xml:space="preserve">Explain why this topic matters and what government decision or product the analysis will inform. State your 2–4 specific, answerable analysis objectives.</w:t>
      </w:r>
    </w:p>
    <w:p>
      <w:pPr>
        <w:pStyle w:val="Heading2"/>
        <w:spacing w:after="90" w:before="180"/>
      </w:pPr>
      <w:r>
        <w:t xml:space="preserve">1.1 Background</w:t>
      </w:r>
    </w:p>
    <w:p>
      <w:pPr>
        <w:spacing w:after="200"/>
      </w:pPr>
      <w:r>
        <w:rPr>
          <w:i/>
          <w:iCs/>
          <w:color w:val="999999"/>
        </w:rPr>
        <w:t xml:space="preserve">[Why this topic was selected; the decision or product it informs; the government sponsor.]</w:t>
      </w:r>
    </w:p>
    <w:p>
      <w:pPr>
        <w:pStyle w:val="Heading2"/>
        <w:spacing w:after="90" w:before="180"/>
      </w:pPr>
      <w:r>
        <w:t xml:space="preserve">1.2 Objectives</w:t>
      </w:r>
    </w:p>
    <w:p>
      <w:pPr>
        <w:pStyle w:val="ListParagraph"/>
        <w:numPr>
          <w:ilvl w:val="0"/>
          <w:numId w:val="1"/>
        </w:numPr>
        <w:spacing w:after="60"/>
      </w:pPr>
      <w:r>
        <w:t xml:space="preserve">[Objective 1]</w:t>
      </w:r>
    </w:p>
    <w:p>
      <w:pPr>
        <w:pStyle w:val="ListParagraph"/>
        <w:numPr>
          <w:ilvl w:val="0"/>
          <w:numId w:val="1"/>
        </w:numPr>
        <w:spacing w:after="60"/>
      </w:pPr>
      <w:r>
        <w:t xml:space="preserve">[Objective 2]</w:t>
      </w:r>
    </w:p>
    <w:p>
      <w:pPr>
        <w:pStyle w:val="ListParagraph"/>
        <w:numPr>
          <w:ilvl w:val="0"/>
          <w:numId w:val="1"/>
        </w:numPr>
        <w:spacing w:after="60"/>
      </w:pPr>
      <w:r>
        <w:t xml:space="preserve">[Objective 3 — optional]</w:t>
      </w:r>
    </w:p>
    <w:p>
      <w:pPr>
        <w:pStyle w:val="ListParagraph"/>
        <w:numPr>
          <w:ilvl w:val="0"/>
          <w:numId w:val="1"/>
        </w:numPr>
        <w:spacing w:after="60"/>
      </w:pPr>
      <w:r>
        <w:t xml:space="preserve">[Objective 4 — optional]</w:t>
      </w:r>
    </w:p>
    <w:p>
      <w:pPr>
        <w:pStyle w:val="Heading1"/>
        <w:spacing w:after="140" w:before="280"/>
      </w:pPr>
      <w:r>
        <w:t xml:space="preserve">2. Methods — Data Sources &amp; Analytic Approach</w:t>
      </w:r>
    </w:p>
    <w:p>
      <w:pPr>
        <w:spacing w:after="160"/>
      </w:pPr>
      <w:r>
        <w:rPr>
          <w:b/>
          <w:bCs/>
          <w:i/>
          <w:iCs/>
          <w:color w:val="C98A2C"/>
        </w:rPr>
        <w:t xml:space="preserve">Guidance: </w:t>
      </w:r>
      <w:r>
        <w:rPr>
          <w:i/>
          <w:iCs/>
          <w:color w:val="666666"/>
        </w:rPr>
        <w:t xml:space="preserve">This section is the report's audit trail. It typically requires government review before publication.</w:t>
      </w:r>
    </w:p>
    <w:p>
      <w:pPr>
        <w:pStyle w:val="Heading2"/>
        <w:spacing w:after="90" w:before="180"/>
      </w:pPr>
      <w:r>
        <w:t xml:space="preserve">2.1 Data Source(s)</w:t>
      </w:r>
    </w:p>
    <w:p>
      <w:pPr>
        <w:spacing w:after="200"/>
      </w:pPr>
      <w:r>
        <w:rPr>
          <w:i/>
          <w:iCs/>
          <w:color w:val="999999"/>
        </w:rPr>
        <w:t xml:space="preserve">[Source system, department/institution, time period covered, level of disaggregation.]</w:t>
      </w:r>
    </w:p>
    <w:p>
      <w:pPr>
        <w:pStyle w:val="Heading2"/>
        <w:spacing w:after="90" w:before="180"/>
      </w:pPr>
      <w:r>
        <w:t xml:space="preserve">2.2 Data Cleaning &amp; Quality</w:t>
      </w:r>
    </w:p>
    <w:p>
      <w:pPr>
        <w:spacing w:after="200"/>
      </w:pPr>
      <w:r>
        <w:rPr>
          <w:i/>
          <w:iCs/>
          <w:color w:val="999999"/>
        </w:rPr>
        <w:t xml:space="preserve">[Summarize the data-quality log: issues found, decisions made, and rows affected. Reference the accompanying Data Dictionary.]</w:t>
      </w:r>
    </w:p>
    <w:p>
      <w:pPr>
        <w:pStyle w:val="Heading2"/>
        <w:spacing w:after="90" w:before="180"/>
      </w:pPr>
      <w:r>
        <w:t xml:space="preserve">2.3 Analytic Approach</w:t>
      </w:r>
    </w:p>
    <w:p>
      <w:pPr>
        <w:spacing w:after="200"/>
      </w:pPr>
      <w:r>
        <w:rPr>
          <w:i/>
          <w:iCs/>
          <w:color w:val="999999"/>
        </w:rPr>
        <w:t xml:space="preserve">[Descriptive statistics used (e.g., median vs. mean and why); rate calculation method and denominator source (e.g., inter-censal population estimate); disaggregation dimensions applied.]</w:t>
      </w:r>
    </w:p>
    <w:p>
      <w:pPr>
        <w:pStyle w:val="Heading1"/>
        <w:spacing w:after="140" w:before="280"/>
      </w:pPr>
      <w:r>
        <w:t xml:space="preserve">3. Results — Findings</w:t>
      </w:r>
    </w:p>
    <w:p>
      <w:pPr>
        <w:spacing w:after="160"/>
      </w:pPr>
      <w:r>
        <w:rPr>
          <w:b/>
          <w:bCs/>
          <w:i/>
          <w:iCs/>
          <w:color w:val="C98A2C"/>
        </w:rPr>
        <w:t xml:space="preserve">Guidance: </w:t>
      </w:r>
      <w:r>
        <w:rPr>
          <w:i/>
          <w:iCs/>
          <w:color w:val="666666"/>
        </w:rPr>
        <w:t xml:space="preserve">Organize by objective. Each finding should have a supporting table or chart, in plain language, stating the takeaway first.</w:t>
      </w:r>
    </w:p>
    <w:p>
      <w:pPr>
        <w:pStyle w:val="Heading2"/>
        <w:spacing w:after="90" w:before="180"/>
      </w:pPr>
      <w:r>
        <w:t xml:space="preserve">3.1 Finding 1 — [state the finding as the heading, e.g., 'Rural districts report higher rates than urban districts']</w:t>
      </w:r>
    </w:p>
    <w:p>
      <w:pPr>
        <w:spacing w:after="200"/>
      </w:pPr>
      <w:r>
        <w:rPr>
          <w:i/>
          <w:iCs/>
          <w:color w:val="999999"/>
        </w:rPr>
        <w:t xml:space="preserve">[Narrative + reference to Table 1 / Figure 1.]</w:t>
      </w:r>
    </w:p>
    <w:p>
      <w:pPr>
        <w:pStyle w:val="Heading2"/>
        <w:spacing w:after="90" w:before="180"/>
      </w:pPr>
      <w:r>
        <w:t xml:space="preserve">3.2 Finding 2</w:t>
      </w:r>
    </w:p>
    <w:p>
      <w:pPr>
        <w:spacing w:after="200"/>
      </w:pPr>
      <w:r>
        <w:rPr>
          <w:i/>
          <w:iCs/>
          <w:color w:val="999999"/>
        </w:rPr>
        <w:t xml:space="preserve">[Narrative + reference to Table 2 / Figure 2.]</w:t>
      </w:r>
    </w:p>
    <w:p>
      <w:pPr>
        <w:pStyle w:val="Heading2"/>
        <w:spacing w:after="90" w:before="180"/>
      </w:pPr>
      <w:r>
        <w:t xml:space="preserve">3.3 Finding 3 (optional)</w:t>
      </w:r>
    </w:p>
    <w:p>
      <w:pPr>
        <w:spacing w:after="200"/>
      </w:pPr>
      <w:r>
        <w:rPr>
          <w:i/>
          <w:iCs/>
          <w:color w:val="999999"/>
        </w:rPr>
        <w:t xml:space="preserve">[Narrative + reference to Table 3 / Figure 3.]</w:t>
      </w:r>
    </w:p>
    <w:p>
      <w:pPr>
        <w:pStyle w:val="Heading1"/>
        <w:spacing w:after="140" w:before="280"/>
      </w:pPr>
      <w:r>
        <w:t xml:space="preserve">4. Equity Considerations</w:t>
      </w:r>
    </w:p>
    <w:p>
      <w:pPr>
        <w:spacing w:after="160"/>
      </w:pPr>
      <w:r>
        <w:rPr>
          <w:b/>
          <w:bCs/>
          <w:i/>
          <w:iCs/>
          <w:color w:val="C98A2C"/>
        </w:rPr>
        <w:t xml:space="preserve">Guidance: </w:t>
      </w:r>
      <w:r>
        <w:rPr>
          <w:i/>
          <w:iCs/>
          <w:color w:val="666666"/>
        </w:rPr>
        <w:t xml:space="preserve">Present disaggregated findings (sex, location, and an available socioeconomic proxy) as targeting information for resource allocation. Flag any cell with fewer than 20 underlying events as 'interpret with caution.' Document explicitly if a dimension (e.g., an SES proxy) could not be disaggregated due to data limitations.</w:t>
      </w:r>
    </w:p>
    <w:p>
      <w:pPr>
        <w:spacing w:after="200"/>
      </w:pPr>
      <w:r>
        <w:rPr>
          <w:i/>
          <w:iCs/>
          <w:color w:val="999999"/>
        </w:rPr>
        <w:t xml:space="preserve">[Equity narrative here.]</w:t>
      </w:r>
    </w:p>
    <w:p>
      <w:pPr>
        <w:pStyle w:val="Heading1"/>
        <w:spacing w:after="140" w:before="280"/>
      </w:pPr>
      <w:r>
        <w:t xml:space="preserve">5. Discussion — Interpretation &amp; Limitations</w:t>
      </w:r>
    </w:p>
    <w:p>
      <w:pPr>
        <w:pStyle w:val="Heading2"/>
        <w:spacing w:after="90" w:before="180"/>
      </w:pPr>
      <w:r>
        <w:t xml:space="preserve">5.1 Interpretation</w:t>
      </w:r>
    </w:p>
    <w:p>
      <w:pPr>
        <w:spacing w:after="160"/>
      </w:pPr>
      <w:r>
        <w:rPr>
          <w:b/>
          <w:bCs/>
          <w:i/>
          <w:iCs/>
          <w:color w:val="C98A2C"/>
        </w:rPr>
        <w:t xml:space="preserve">Guidance: </w:t>
      </w:r>
      <w:r>
        <w:rPr>
          <w:i/>
          <w:iCs/>
          <w:color w:val="666666"/>
        </w:rPr>
        <w:t xml:space="preserve">State plausible explanations tentatively. Do not assert an unsupported causal claim as fact.</w:t>
      </w:r>
    </w:p>
    <w:p>
      <w:pPr>
        <w:spacing w:after="200"/>
      </w:pPr>
      <w:r>
        <w:rPr>
          <w:i/>
          <w:iCs/>
          <w:color w:val="999999"/>
        </w:rPr>
        <w:t xml:space="preserve">[What the findings might mean, and what additional data would be needed to confirm.]</w:t>
      </w:r>
    </w:p>
    <w:p>
      <w:pPr>
        <w:pStyle w:val="Heading2"/>
        <w:spacing w:after="90" w:before="180"/>
      </w:pPr>
      <w:r>
        <w:t xml:space="preserve">5.2 Limitations</w:t>
      </w:r>
    </w:p>
    <w:p>
      <w:pPr>
        <w:spacing w:after="200"/>
      </w:pPr>
      <w:r>
        <w:rPr>
          <w:i/>
          <w:iCs/>
          <w:color w:val="999999"/>
        </w:rPr>
        <w:t xml:space="preserve">[Data-quality caveats, small-numbers flags, any escalated but unresolved data issues, and any dimension that could not be disaggregated.]</w:t>
      </w:r>
    </w:p>
    <w:p>
      <w:pPr>
        <w:pStyle w:val="Heading1"/>
        <w:spacing w:after="140" w:before="280"/>
      </w:pPr>
      <w:r>
        <w:t xml:space="preserve">6. Recommendations</w:t>
      </w:r>
    </w:p>
    <w:p>
      <w:pPr>
        <w:spacing w:after="160"/>
      </w:pPr>
      <w:r>
        <w:rPr>
          <w:b/>
          <w:bCs/>
          <w:i/>
          <w:iCs/>
          <w:color w:val="C98A2C"/>
        </w:rPr>
        <w:t xml:space="preserve">Guidance: </w:t>
      </w:r>
      <w:r>
        <w:rPr>
          <w:i/>
          <w:iCs/>
          <w:color w:val="666666"/>
        </w:rPr>
        <w:t xml:space="preserve">Keep recommendations clearly separate from findings and interpretation. Each recommendation should name a specific actor and a specific action.</w:t>
      </w:r>
    </w:p>
    <w:p>
      <w:pPr>
        <w:pStyle w:val="ListParagraph"/>
        <w:numPr>
          <w:ilvl w:val="0"/>
          <w:numId w:val="1"/>
        </w:numPr>
        <w:spacing w:after="60"/>
      </w:pPr>
      <w:r>
        <w:t xml:space="preserve">[Recommendation 1 — actor + action]</w:t>
      </w:r>
    </w:p>
    <w:p>
      <w:pPr>
        <w:pStyle w:val="ListParagraph"/>
        <w:numPr>
          <w:ilvl w:val="0"/>
          <w:numId w:val="1"/>
        </w:numPr>
        <w:spacing w:after="60"/>
      </w:pPr>
      <w:r>
        <w:t xml:space="preserve">[Recommendation 2 — actor + action]</w:t>
      </w:r>
    </w:p>
    <w:p>
      <w:pPr>
        <w:pStyle w:val="ListParagraph"/>
        <w:numPr>
          <w:ilvl w:val="0"/>
          <w:numId w:val="1"/>
        </w:numPr>
        <w:spacing w:after="60"/>
      </w:pPr>
      <w:r>
        <w:t xml:space="preserve">[Recommendation 3 — optional]</w:t>
      </w:r>
    </w:p>
    <w:p>
      <w:pPr>
        <w:pStyle w:val="Heading1"/>
        <w:spacing w:after="140" w:before="280"/>
      </w:pPr>
      <w:r>
        <w:t xml:space="preserve">7. Annexes</w:t>
      </w:r>
    </w:p>
    <w:p>
      <w:pPr>
        <w:spacing w:after="200"/>
      </w:pPr>
      <w:r>
        <w:rPr>
          <w:i/>
          <w:iCs/>
          <w:color w:val="999999"/>
        </w:rPr>
        <w:t xml:space="preserve">[Full data tables, extended methodology detail, data dictionary reference.]</w:t>
      </w:r>
    </w:p>
    <w:p>
      <w:pPr>
        <w:spacing w:before="400"/>
      </w:pPr>
      <w:r>
        <w:rPr>
          <w:i/>
          <w:iCs/>
        </w:rPr>
        <w:t xml:space="preserve">Approved for publication by: ______________________  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60"/>
    </w:pPr>
    <w:rPr>
      <w:rFonts w:ascii="Cambria" w:cs="Cambria" w:eastAsia="Cambria" w:hAnsi="Cambria"/>
      <w:b/>
      <w:bCs/>
      <w:color w:val="1B3157"/>
      <w:sz w:val="28"/>
      <w:szCs w:val="28"/>
    </w:rPr>
  </w:style>
  <w:style w:type="paragraph" w:styleId="Heading2">
    <w:name w:val="Heading 2"/>
    <w:basedOn w:val="Normal"/>
    <w:next w:val="Normal"/>
    <w:qFormat/>
    <w:pPr>
      <w:spacing w:after="80" w:before="160"/>
    </w:pPr>
    <w:rPr>
      <w:rFonts w:ascii="Cambria" w:cs="Cambria" w:eastAsia="Cambria" w:hAnsi="Cambria"/>
      <w:b/>
      <w:bCs/>
      <w:color w:val="0E7C8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2026-09-18T02:03:02.226Z</dcterms:created>
  <dcterms:modified xsi:type="dcterms:W3CDTF">2026-09-18T02:03:02.226Z</dcterms:modified>
</cp:coreProperties>
</file>

<file path=docProps/custom.xml><?xml version="1.0" encoding="utf-8"?>
<Properties xmlns="http://schemas.openxmlformats.org/officeDocument/2006/custom-properties" xmlns:vt="http://schemas.openxmlformats.org/officeDocument/2006/docPropsVTypes"/>
</file>