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numPr>
          <w:ilvl w:val="0"/>
          <w:numId w:val="1"/>
        </w:numPr>
        <w:spacing w:lineRule="auto" w:line="240" w:before="0" w:after="120"/>
        <w:ind w:hanging="331" w:start="331"/>
        <w:rPr/>
      </w:pPr>
      <w:r>
        <w:rPr>
          <w:rFonts w:eastAsia="Times New Roman" w:cs="Times New Roman" w:ascii="Times New Roman" w:hAnsi="Times New Roman"/>
        </w:rPr>
        <w:t>The most dangerous trend predicted by climate change is probably the increase in world temperature. Reducing water levels in dry areas and melting polar ice caps and glaciers, temperature change is expected to lead to sea level rise and flooding. Although establishing a global trend requires data from many locations, data from one place can support—or fail to support—the trend.  Long-term data sets are particularly important as they provide the opportunity to average out the annual fluctuations.  One such data set comes from the Nenana Ice Classic, a contest held every year in Alaska.</w:t>
      </w:r>
      <w:r>
        <w:rPr>
          <w:rStyle w:val="FootnoteReference"/>
          <w:rFonts w:eastAsia="Times New Roman" w:cs="Times New Roman" w:ascii="Times New Roman" w:hAnsi="Times New Roman"/>
          <w:vertAlign w:val="superscript"/>
        </w:rPr>
        <w:footnoteReference w:id="2"/>
      </w:r>
      <w:r>
        <w:rPr>
          <w:rFonts w:eastAsia="Times New Roman" w:cs="Times New Roman" w:ascii="Times New Roman" w:hAnsi="Times New Roman"/>
        </w:rPr>
        <w:t xml:space="preserve">  Participants bet on when the ice in the Nenana River will melt.  In early March, a tripod is built on the ice and tied by a cable to a clock on a tower on the bank.  When the ice breaks, the tripod falls over and the cable stops the clock; the person who guesses the date closest to the time the clock stops wins the jackpot ($300,000 in 2016).  Since its start in 1917 by bored railroad engineers waiting for the winter to end, a hundred years of data have been collected. They are listed in the file </w:t>
      </w:r>
      <w:r>
        <w:rPr>
          <w:rFonts w:eastAsia="Times New Roman" w:cs="Times New Roman" w:ascii="Times New Roman" w:hAnsi="Times New Roman"/>
          <w:i/>
        </w:rPr>
        <w:t>NenanaIceClassic.xlsx</w:t>
      </w:r>
      <w:r>
        <w:rPr>
          <w:rFonts w:eastAsia="Times New Roman" w:cs="Times New Roman" w:ascii="Times New Roman" w:hAnsi="Times New Roman"/>
        </w:rPr>
        <w:t>.</w:t>
      </w:r>
    </w:p>
    <w:p>
      <w:pPr>
        <w:pStyle w:val="normal1"/>
        <w:numPr>
          <w:ilvl w:val="0"/>
          <w:numId w:val="3"/>
        </w:numPr>
        <w:spacing w:lineRule="auto" w:line="240" w:before="0" w:after="120"/>
        <w:ind w:hanging="360" w:start="720"/>
        <w:rPr>
          <w:rFonts w:ascii="Times New Roman" w:hAnsi="Times New Roman" w:eastAsia="Times New Roman" w:cs="Times New Roman"/>
        </w:rPr>
      </w:pPr>
      <w:r>
        <w:rPr>
          <w:rFonts w:eastAsia="Times New Roman" w:cs="Times New Roman" w:ascii="Times New Roman" w:hAnsi="Times New Roman"/>
        </w:rPr>
        <w:t xml:space="preserve">Make a scatter plot of the data.  Fit a line and paste the scatter plot with the line in your solution. (Think about which variable you want to choose as </w:t>
      </w:r>
      <w:r>
        <w:rPr/>
      </w:r>
      <m:oMath xmlns:m="http://schemas.openxmlformats.org/officeDocument/2006/math">
        <m:r>
          <m:t xml:space="preserve">y</m:t>
        </m:r>
      </m:oMath>
      <w:r>
        <w:rPr>
          <w:rFonts w:eastAsia="Times New Roman" w:cs="Times New Roman" w:ascii="Times New Roman" w:hAnsi="Times New Roman"/>
        </w:rPr>
        <w:t xml:space="preserve"> and which as </w:t>
      </w:r>
      <w:r>
        <w:rPr/>
      </w:r>
      <m:oMath xmlns:m="http://schemas.openxmlformats.org/officeDocument/2006/math">
        <m:r>
          <m:t xml:space="preserve">x</m:t>
        </m:r>
      </m:oMath>
      <w:r>
        <w:rPr>
          <w:rFonts w:eastAsia="Times New Roman" w:cs="Times New Roman" w:ascii="Times New Roman" w:hAnsi="Times New Roman"/>
        </w:rPr>
        <w:t xml:space="preserve">. Label </w:t>
      </w:r>
      <w:r>
        <w:rPr/>
      </w:r>
      <m:oMath xmlns:m="http://schemas.openxmlformats.org/officeDocument/2006/math">
        <m:r>
          <m:t xml:space="preserve">x</m:t>
        </m:r>
      </m:oMath>
      <w:r>
        <w:rPr>
          <w:rFonts w:eastAsia="Times New Roman" w:cs="Times New Roman" w:ascii="Times New Roman" w:hAnsi="Times New Roman"/>
        </w:rPr>
        <w:t xml:space="preserve"> and </w:t>
      </w:r>
      <w:r>
        <w:rPr/>
      </w:r>
      <m:oMath xmlns:m="http://schemas.openxmlformats.org/officeDocument/2006/math">
        <m:r>
          <m:t xml:space="preserve">y</m:t>
        </m:r>
      </m:oMath>
      <w:r>
        <w:rPr>
          <w:rFonts w:eastAsia="Times New Roman" w:cs="Times New Roman" w:ascii="Times New Roman" w:hAnsi="Times New Roman"/>
        </w:rPr>
        <w:t xml:space="preserve"> axes appropriately.)</w:t>
      </w:r>
    </w:p>
    <w:p>
      <w:pPr>
        <w:pStyle w:val="normal1"/>
        <w:numPr>
          <w:ilvl w:val="0"/>
          <w:numId w:val="3"/>
        </w:numPr>
        <w:spacing w:lineRule="auto" w:line="240" w:before="0" w:after="120"/>
        <w:ind w:hanging="360" w:start="720"/>
        <w:rPr>
          <w:rFonts w:ascii="Times New Roman" w:hAnsi="Times New Roman" w:eastAsia="Times New Roman" w:cs="Times New Roman"/>
        </w:rPr>
      </w:pPr>
      <w:r>
        <w:rPr>
          <w:rFonts w:eastAsia="Times New Roman" w:cs="Times New Roman" w:ascii="Times New Roman" w:hAnsi="Times New Roman"/>
        </w:rPr>
        <w:t>What does the slope of the line tell you about the Nenana River?  Give units in your answer.</w:t>
      </w:r>
    </w:p>
    <w:p>
      <w:pPr>
        <w:pStyle w:val="normal1"/>
        <w:numPr>
          <w:ilvl w:val="0"/>
          <w:numId w:val="3"/>
        </w:numPr>
        <w:spacing w:lineRule="auto" w:line="240" w:before="0" w:after="120"/>
        <w:ind w:hanging="360" w:start="720"/>
        <w:rPr>
          <w:rFonts w:ascii="Times New Roman" w:hAnsi="Times New Roman" w:eastAsia="Times New Roman" w:cs="Times New Roman"/>
        </w:rPr>
      </w:pPr>
      <w:r>
        <w:rPr>
          <w:rFonts w:eastAsia="Times New Roman" w:cs="Times New Roman" w:ascii="Times New Roman" w:hAnsi="Times New Roman"/>
        </w:rPr>
        <w:t>Run a bivariate linear regression on this data. Paste the table in your solution.</w:t>
      </w:r>
    </w:p>
    <w:p>
      <w:pPr>
        <w:pStyle w:val="normal1"/>
        <w:numPr>
          <w:ilvl w:val="0"/>
          <w:numId w:val="3"/>
        </w:numPr>
        <w:spacing w:lineRule="auto" w:line="240" w:before="0" w:after="120"/>
        <w:ind w:hanging="360" w:start="720"/>
        <w:rPr>
          <w:rFonts w:ascii="Times New Roman" w:hAnsi="Times New Roman" w:eastAsia="Times New Roman" w:cs="Times New Roman"/>
        </w:rPr>
      </w:pPr>
      <w:r>
        <w:rPr>
          <w:rFonts w:eastAsia="Times New Roman" w:cs="Times New Roman" w:ascii="Times New Roman" w:hAnsi="Times New Roman"/>
        </w:rPr>
        <w:t xml:space="preserve">Does the data provide evidence that the date on which the ice melts is getting significantly earlier?  To answer this question, set up the hypothesis test and show </w:t>
      </w:r>
      <w:r>
        <w:rPr>
          <w:rFonts w:eastAsia="Times New Roman" w:cs="Times New Roman" w:ascii="Times New Roman" w:hAnsi="Times New Roman"/>
          <w:b/>
          <w:i/>
        </w:rPr>
        <w:t>all the steps</w:t>
      </w:r>
      <w:r>
        <w:rPr>
          <w:rFonts w:eastAsia="Times New Roman" w:cs="Times New Roman" w:ascii="Times New Roman" w:hAnsi="Times New Roman"/>
        </w:rPr>
        <w:t xml:space="preserve"> in your reasoning.  State clearly which values in the table you are using to draw conclusions.</w:t>
      </w:r>
    </w:p>
    <w:p>
      <w:pPr>
        <w:pStyle w:val="normal1"/>
        <w:spacing w:lineRule="auto" w:line="240" w:before="0" w:after="120"/>
        <w:ind w:start="331"/>
        <w:rPr>
          <w:rFonts w:ascii="Times New Roman" w:hAnsi="Times New Roman" w:eastAsia="Times New Roman" w:cs="Times New Roman"/>
        </w:rPr>
      </w:pPr>
      <w:r>
        <w:rPr/>
        <w:drawing>
          <wp:inline distT="0" distB="0" distL="0" distR="0">
            <wp:extent cx="3276600" cy="2132330"/>
            <wp:effectExtent l="0" t="0" r="0" b="0"/>
            <wp:docPr id="1" name="image2.jpg" descr="Nenana Ice Classic Tripod Rai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Nenana Ice Classic Tripod Raising"/>
                    <pic:cNvPicPr>
                      <a:picLocks noChangeAspect="1" noChangeArrowheads="1"/>
                    </pic:cNvPicPr>
                  </pic:nvPicPr>
                  <pic:blipFill>
                    <a:blip r:embed="rId2"/>
                    <a:stretch>
                      <a:fillRect/>
                    </a:stretch>
                  </pic:blipFill>
                  <pic:spPr bwMode="auto">
                    <a:xfrm>
                      <a:off x="0" y="0"/>
                      <a:ext cx="3276600" cy="2132330"/>
                    </a:xfrm>
                    <a:prstGeom prst="rect">
                      <a:avLst/>
                    </a:prstGeom>
                    <a:noFill/>
                  </pic:spPr>
                </pic:pic>
              </a:graphicData>
            </a:graphic>
          </wp:inline>
        </w:drawing>
      </w:r>
    </w:p>
    <w:p>
      <w:pPr>
        <w:pStyle w:val="normal1"/>
        <w:spacing w:lineRule="auto" w:line="240" w:before="0" w:after="0"/>
        <w:ind w:start="331"/>
        <w:rPr>
          <w:rFonts w:ascii="Times New Roman" w:hAnsi="Times New Roman" w:eastAsia="Times New Roman" w:cs="Times New Roman"/>
        </w:rPr>
      </w:pPr>
      <w:r>
        <w:rPr>
          <w:rFonts w:eastAsia="Times New Roman" w:cs="Times New Roman" w:ascii="Times New Roman" w:hAnsi="Times New Roman"/>
          <w:sz w:val="24"/>
          <w:szCs w:val="24"/>
        </w:rPr>
        <w:t>Rasing the tripod on the Nenana River, March 6, 2016</w:t>
      </w:r>
      <w:r>
        <w:rPr>
          <w:rStyle w:val="FootnoteReference"/>
          <w:rFonts w:eastAsia="Times New Roman" w:cs="Times New Roman" w:ascii="Times New Roman" w:hAnsi="Times New Roman"/>
          <w:sz w:val="24"/>
          <w:szCs w:val="24"/>
          <w:vertAlign w:val="superscript"/>
        </w:rPr>
        <w:footnoteReference w:id="3"/>
      </w:r>
      <w:r>
        <w:rPr>
          <w:rFonts w:eastAsia="Times New Roman" w:cs="Times New Roman" w:ascii="Times New Roman" w:hAnsi="Times New Roman"/>
          <w:sz w:val="24"/>
          <w:szCs w:val="24"/>
        </w:rPr>
        <w:t xml:space="preserve"> </w:t>
      </w:r>
    </w:p>
    <w:p>
      <w:pPr>
        <w:pStyle w:val="normal1"/>
        <w:spacing w:lineRule="auto" w:line="240" w:before="0" w:after="0"/>
        <w:rPr>
          <w:rFonts w:ascii="Times New Roman" w:hAnsi="Times New Roman" w:eastAsia="Times New Roman" w:cs="Times New Roman"/>
        </w:rPr>
      </w:pPr>
      <w:r>
        <w:rPr>
          <w:rFonts w:eastAsia="Times New Roman" w:cs="Times New Roman" w:ascii="Times New Roman" w:hAnsi="Times New Roman"/>
        </w:rPr>
        <w:t>___________________________________________</w:t>
      </w:r>
    </w:p>
    <w:p>
      <w:pPr>
        <w:pStyle w:val="normal1"/>
        <w:rPr>
          <w:rFonts w:ascii="Times New Roman" w:hAnsi="Times New Roman" w:eastAsia="Times New Roman" w:cs="Times New Roman"/>
        </w:rPr>
      </w:pPr>
      <w:r>
        <w:rPr>
          <w:rFonts w:eastAsia="Times New Roman" w:cs="Times New Roman" w:ascii="Times New Roman" w:hAnsi="Times New Roman"/>
        </w:rPr>
      </w:r>
      <w:r>
        <w:br w:type="page"/>
      </w:r>
    </w:p>
    <w:p>
      <w:pPr>
        <w:pStyle w:val="normal1"/>
        <w:spacing w:lineRule="auto" w:line="240" w:before="0" w:after="0"/>
        <w:rPr>
          <w:rFonts w:ascii="Times New Roman" w:hAnsi="Times New Roman" w:eastAsia="Times New Roman" w:cs="Times New Roman"/>
        </w:rPr>
      </w:pPr>
      <w:r>
        <w:rPr>
          <w:rFonts w:eastAsia="Times New Roman" w:cs="Times New Roman" w:ascii="Times New Roman" w:hAnsi="Times New Roman"/>
        </w:rPr>
        <w:t>Solution</w:t>
      </w:r>
    </w:p>
    <w:p>
      <w:pPr>
        <w:pStyle w:val="normal1"/>
        <w:numPr>
          <w:ilvl w:val="0"/>
          <w:numId w:val="2"/>
        </w:numPr>
        <w:spacing w:lineRule="auto" w:line="240" w:before="0" w:after="0"/>
        <w:ind w:hanging="360" w:start="360"/>
        <w:rPr>
          <w:rFonts w:ascii="Times New Roman" w:hAnsi="Times New Roman" w:eastAsia="Times New Roman" w:cs="Times New Roman"/>
        </w:rPr>
      </w:pPr>
      <w:r>
        <w:rPr>
          <w:rFonts w:eastAsia="Times New Roman" w:cs="Times New Roman" w:ascii="Times New Roman" w:hAnsi="Times New Roman"/>
        </w:rPr>
        <w:t>Each year has a number—the melt date in days since April 19.  The year is the explanatory variable and the days since April 19 is the response variable.</w:t>
      </w:r>
    </w:p>
    <w:p>
      <w:pPr>
        <w:pStyle w:val="normal1"/>
        <w:spacing w:lineRule="auto" w:line="240" w:before="0" w:after="0"/>
        <w:ind w:start="450"/>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4"/>
        </w:numPr>
        <w:spacing w:lineRule="auto" w:line="240" w:before="0" w:after="0"/>
        <w:ind w:hanging="360" w:start="720"/>
        <w:rPr>
          <w:rFonts w:ascii="Times New Roman" w:hAnsi="Times New Roman" w:eastAsia="Times New Roman" w:cs="Times New Roman"/>
        </w:rPr>
      </w:pPr>
      <w:r>
        <w:rPr>
          <w:rFonts w:eastAsia="Times New Roman" w:cs="Times New Roman" w:ascii="Times New Roman" w:hAnsi="Times New Roman"/>
        </w:rPr>
        <w:t>The line has equation</w:t>
      </w:r>
    </w:p>
    <w:p>
      <w:pPr>
        <w:pStyle w:val="normal1"/>
        <w:jc w:val="center"/>
        <w:rPr>
          <w:rFonts w:ascii="Cambria" w:hAnsi="Cambria" w:eastAsia="Cambria" w:cs="Cambria"/>
        </w:rPr>
      </w:pPr>
      <w:r>
        <w:rPr/>
      </w:r>
      <m:oMathPara xmlns:m="http://schemas.openxmlformats.org/officeDocument/2006/math">
        <m:oMathParaPr>
          <m:jc m:val="center"/>
        </m:oMathParaPr>
        <m:oMath>
          <m:r>
            <m:t xml:space="preserve">Days</m:t>
          </m:r>
          <m:r>
            <m:rPr>
              <m:lit/>
              <m:nor/>
            </m:rPr>
            <m:t xml:space="preserve">=</m:t>
          </m:r>
          <m:r>
            <m:rPr>
              <m:lit/>
              <m:nor/>
            </m:rPr>
            <m:t xml:space="preserve">-</m:t>
          </m:r>
          <m:r>
            <m:t xml:space="preserve">0.077</m:t>
          </m:r>
          <m:r>
            <m:t xml:space="preserve">∙</m:t>
          </m:r>
          <m:r>
            <m:t xml:space="preserve">Year</m:t>
          </m:r>
          <m:r>
            <m:rPr>
              <m:lit/>
              <m:nor/>
            </m:rPr>
            <m:t xml:space="preserve">+</m:t>
          </m:r>
          <m:r>
            <m:t xml:space="preserve">166.652</m:t>
          </m:r>
          <m:r>
            <m:t xml:space="preserve">.</m:t>
          </m:r>
        </m:oMath>
      </m:oMathPara>
    </w:p>
    <w:p>
      <w:pPr>
        <w:pStyle w:val="normal1"/>
        <w:spacing w:lineRule="auto" w:line="240" w:before="0" w:after="0"/>
        <w:ind w:start="7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ind w:start="720"/>
        <w:rPr>
          <w:rFonts w:ascii="Times New Roman" w:hAnsi="Times New Roman" w:eastAsia="Times New Roman" w:cs="Times New Roman"/>
        </w:rPr>
      </w:pPr>
      <w:bookmarkStart w:id="0" w:name="_gjdgxs"/>
      <w:bookmarkEnd w:id="0"/>
      <w:r>
        <w:rPr/>
        <w:drawing>
          <wp:inline distT="0" distB="0" distL="0" distR="0">
            <wp:extent cx="4572000" cy="274320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3"/>
                    <a:stretch>
                      <a:fillRect/>
                    </a:stretch>
                  </pic:blipFill>
                  <pic:spPr bwMode="auto">
                    <a:xfrm>
                      <a:off x="0" y="0"/>
                      <a:ext cx="4572000" cy="2743200"/>
                    </a:xfrm>
                    <a:prstGeom prst="rect">
                      <a:avLst/>
                    </a:prstGeom>
                    <a:noFill/>
                  </pic:spPr>
                </pic:pic>
              </a:graphicData>
            </a:graphic>
          </wp:inline>
        </w:drawing>
      </w:r>
      <w:r>
        <w:rPr>
          <w:rFonts w:eastAsia="Times New Roman" w:cs="Times New Roman" w:ascii="Times New Roman" w:hAnsi="Times New Roman"/>
        </w:rPr>
        <w:br/>
      </w:r>
    </w:p>
    <w:p>
      <w:pPr>
        <w:pStyle w:val="normal1"/>
        <w:spacing w:lineRule="auto" w:line="240" w:before="0" w:after="0"/>
        <w:ind w:start="720"/>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4"/>
        </w:numPr>
        <w:spacing w:lineRule="auto" w:line="240" w:before="0" w:after="0"/>
        <w:ind w:hanging="360" w:start="720"/>
        <w:rPr>
          <w:rFonts w:ascii="Times New Roman" w:hAnsi="Times New Roman" w:eastAsia="Times New Roman" w:cs="Times New Roman"/>
        </w:rPr>
      </w:pPr>
      <w:r>
        <w:rPr>
          <w:rFonts w:eastAsia="Times New Roman" w:cs="Times New Roman" w:ascii="Times New Roman" w:hAnsi="Times New Roman"/>
        </w:rPr>
        <w:t>The slope tells us that, on average, the ice breaks 0.077 days earlier each year.</w:t>
      </w:r>
    </w:p>
    <w:p>
      <w:pPr>
        <w:pStyle w:val="normal1"/>
        <w:spacing w:lineRule="auto" w:line="240" w:before="0" w:after="0"/>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4"/>
        </w:numPr>
        <w:spacing w:lineRule="auto" w:line="240" w:before="0" w:after="0"/>
        <w:ind w:hanging="360" w:start="720"/>
        <w:rPr>
          <w:rFonts w:ascii="Times New Roman" w:hAnsi="Times New Roman" w:eastAsia="Times New Roman" w:cs="Times New Roman"/>
        </w:rPr>
      </w:pPr>
      <w:r>
        <w:rPr>
          <w:rFonts w:eastAsia="Times New Roman" w:cs="Times New Roman" w:ascii="Times New Roman" w:hAnsi="Times New Roman"/>
        </w:rPr>
        <w:t>The table is as follows:</w:t>
      </w:r>
    </w:p>
    <w:tbl>
      <w:tblPr>
        <w:tblStyle w:val="Table1"/>
        <w:tblW w:w="9460" w:type="dxa"/>
        <w:jc w:val="start"/>
        <w:tblInd w:w="-360" w:type="dxa"/>
        <w:tblLayout w:type="fixed"/>
        <w:tblCellMar>
          <w:top w:w="0" w:type="dxa"/>
          <w:start w:w="108" w:type="dxa"/>
          <w:bottom w:w="0" w:type="dxa"/>
          <w:end w:w="108" w:type="dxa"/>
        </w:tblCellMar>
        <w:tblLook w:val="0400"/>
      </w:tblPr>
      <w:tblGrid>
        <w:gridCol w:w="1080"/>
        <w:gridCol w:w="1440"/>
        <w:gridCol w:w="1739"/>
        <w:gridCol w:w="1300"/>
        <w:gridCol w:w="1301"/>
        <w:gridCol w:w="1300"/>
        <w:gridCol w:w="1300"/>
      </w:tblGrid>
      <w:tr>
        <w:trPr>
          <w:trHeight w:val="260" w:hRule="atLeast"/>
        </w:trPr>
        <w:tc>
          <w:tcPr>
            <w:tcW w:w="1080" w:type="dxa"/>
            <w:tcBorders>
              <w:top w:val="single" w:sz="8" w:space="0" w:color="000000"/>
              <w:bottom w:val="single" w:sz="4" w:space="0" w:color="000000"/>
            </w:tcBorders>
            <w:shd w:fill="auto" w:val="clear"/>
            <w:vAlign w:val="bottom"/>
          </w:tcPr>
          <w:p>
            <w:pPr>
              <w:pStyle w:val="normal1"/>
              <w:spacing w:lineRule="auto" w:line="240" w:before="0" w:after="0"/>
              <w:jc w:val="center"/>
              <w:rPr>
                <w:rFonts w:ascii="Arial" w:hAnsi="Arial" w:eastAsia="Arial" w:cs="Arial"/>
                <w:i/>
                <w:sz w:val="20"/>
                <w:szCs w:val="20"/>
              </w:rPr>
            </w:pPr>
            <w:r>
              <w:rPr>
                <w:rFonts w:eastAsia="Arial" w:cs="Arial" w:ascii="Arial" w:hAnsi="Arial"/>
                <w:i/>
                <w:sz w:val="20"/>
                <w:szCs w:val="20"/>
              </w:rPr>
              <w:t> </w:t>
            </w:r>
          </w:p>
        </w:tc>
        <w:tc>
          <w:tcPr>
            <w:tcW w:w="1440" w:type="dxa"/>
            <w:tcBorders>
              <w:top w:val="single" w:sz="8" w:space="0" w:color="000000"/>
              <w:bottom w:val="single" w:sz="4" w:space="0" w:color="000000"/>
            </w:tcBorders>
            <w:shd w:fill="auto" w:val="clear"/>
            <w:vAlign w:val="bottom"/>
          </w:tcPr>
          <w:p>
            <w:pPr>
              <w:pStyle w:val="normal1"/>
              <w:spacing w:lineRule="auto" w:line="240" w:before="0" w:after="0"/>
              <w:jc w:val="center"/>
              <w:rPr>
                <w:rFonts w:ascii="Arial" w:hAnsi="Arial" w:eastAsia="Arial" w:cs="Arial"/>
                <w:i/>
                <w:sz w:val="20"/>
                <w:szCs w:val="20"/>
              </w:rPr>
            </w:pPr>
            <w:r>
              <w:rPr>
                <w:rFonts w:eastAsia="Arial" w:cs="Arial" w:ascii="Arial" w:hAnsi="Arial"/>
                <w:i/>
                <w:sz w:val="20"/>
                <w:szCs w:val="20"/>
              </w:rPr>
              <w:t>Coefficients</w:t>
            </w:r>
          </w:p>
        </w:tc>
        <w:tc>
          <w:tcPr>
            <w:tcW w:w="1739" w:type="dxa"/>
            <w:tcBorders>
              <w:top w:val="single" w:sz="8" w:space="0" w:color="000000"/>
              <w:bottom w:val="single" w:sz="4" w:space="0" w:color="000000"/>
            </w:tcBorders>
            <w:shd w:fill="auto" w:val="clear"/>
            <w:vAlign w:val="bottom"/>
          </w:tcPr>
          <w:p>
            <w:pPr>
              <w:pStyle w:val="normal1"/>
              <w:spacing w:lineRule="auto" w:line="240" w:before="0" w:after="0"/>
              <w:jc w:val="center"/>
              <w:rPr>
                <w:rFonts w:ascii="Arial" w:hAnsi="Arial" w:eastAsia="Arial" w:cs="Arial"/>
                <w:i/>
                <w:sz w:val="20"/>
                <w:szCs w:val="20"/>
              </w:rPr>
            </w:pPr>
            <w:r>
              <w:rPr>
                <w:rFonts w:eastAsia="Arial" w:cs="Arial" w:ascii="Arial" w:hAnsi="Arial"/>
                <w:i/>
                <w:sz w:val="20"/>
                <w:szCs w:val="20"/>
              </w:rPr>
              <w:t>Standard Error</w:t>
            </w:r>
          </w:p>
        </w:tc>
        <w:tc>
          <w:tcPr>
            <w:tcW w:w="1300" w:type="dxa"/>
            <w:tcBorders>
              <w:top w:val="single" w:sz="8" w:space="0" w:color="000000"/>
              <w:bottom w:val="single" w:sz="4" w:space="0" w:color="000000"/>
            </w:tcBorders>
            <w:shd w:fill="auto" w:val="clear"/>
            <w:vAlign w:val="bottom"/>
          </w:tcPr>
          <w:p>
            <w:pPr>
              <w:pStyle w:val="normal1"/>
              <w:spacing w:lineRule="auto" w:line="240" w:before="0" w:after="0"/>
              <w:jc w:val="center"/>
              <w:rPr>
                <w:rFonts w:ascii="Arial" w:hAnsi="Arial" w:eastAsia="Arial" w:cs="Arial"/>
                <w:i/>
                <w:sz w:val="20"/>
                <w:szCs w:val="20"/>
              </w:rPr>
            </w:pPr>
            <w:r>
              <w:rPr>
                <w:rFonts w:eastAsia="Arial" w:cs="Arial" w:ascii="Arial" w:hAnsi="Arial"/>
                <w:i/>
                <w:sz w:val="20"/>
                <w:szCs w:val="20"/>
              </w:rPr>
              <w:t>t Stat</w:t>
            </w:r>
          </w:p>
        </w:tc>
        <w:tc>
          <w:tcPr>
            <w:tcW w:w="1301" w:type="dxa"/>
            <w:tcBorders>
              <w:top w:val="single" w:sz="8" w:space="0" w:color="000000"/>
              <w:bottom w:val="single" w:sz="4" w:space="0" w:color="000000"/>
            </w:tcBorders>
            <w:shd w:fill="auto" w:val="clear"/>
            <w:vAlign w:val="bottom"/>
          </w:tcPr>
          <w:p>
            <w:pPr>
              <w:pStyle w:val="normal1"/>
              <w:spacing w:lineRule="auto" w:line="240" w:before="0" w:after="0"/>
              <w:jc w:val="center"/>
              <w:rPr>
                <w:rFonts w:ascii="Arial" w:hAnsi="Arial" w:eastAsia="Arial" w:cs="Arial"/>
                <w:i/>
                <w:sz w:val="20"/>
                <w:szCs w:val="20"/>
              </w:rPr>
            </w:pPr>
            <w:r>
              <w:rPr>
                <w:rFonts w:eastAsia="Arial" w:cs="Arial" w:ascii="Arial" w:hAnsi="Arial"/>
                <w:i/>
                <w:sz w:val="20"/>
                <w:szCs w:val="20"/>
              </w:rPr>
              <w:t>P-value</w:t>
            </w:r>
          </w:p>
        </w:tc>
        <w:tc>
          <w:tcPr>
            <w:tcW w:w="1300" w:type="dxa"/>
            <w:tcBorders>
              <w:top w:val="single" w:sz="8" w:space="0" w:color="000000"/>
              <w:bottom w:val="single" w:sz="4" w:space="0" w:color="000000"/>
            </w:tcBorders>
            <w:shd w:fill="auto" w:val="clear"/>
            <w:vAlign w:val="bottom"/>
          </w:tcPr>
          <w:p>
            <w:pPr>
              <w:pStyle w:val="normal1"/>
              <w:spacing w:lineRule="auto" w:line="240" w:before="0" w:after="0"/>
              <w:jc w:val="center"/>
              <w:rPr>
                <w:rFonts w:ascii="Arial" w:hAnsi="Arial" w:eastAsia="Arial" w:cs="Arial"/>
                <w:i/>
                <w:sz w:val="20"/>
                <w:szCs w:val="20"/>
              </w:rPr>
            </w:pPr>
            <w:r>
              <w:rPr>
                <w:rFonts w:eastAsia="Arial" w:cs="Arial" w:ascii="Arial" w:hAnsi="Arial"/>
                <w:i/>
                <w:sz w:val="20"/>
                <w:szCs w:val="20"/>
              </w:rPr>
              <w:t>Lower 95%</w:t>
            </w:r>
          </w:p>
        </w:tc>
        <w:tc>
          <w:tcPr>
            <w:tcW w:w="1300" w:type="dxa"/>
            <w:tcBorders>
              <w:top w:val="single" w:sz="8" w:space="0" w:color="000000"/>
              <w:bottom w:val="single" w:sz="4" w:space="0" w:color="000000"/>
            </w:tcBorders>
            <w:shd w:fill="auto" w:val="clear"/>
            <w:vAlign w:val="bottom"/>
          </w:tcPr>
          <w:p>
            <w:pPr>
              <w:pStyle w:val="normal1"/>
              <w:spacing w:lineRule="auto" w:line="240" w:before="0" w:after="0"/>
              <w:jc w:val="center"/>
              <w:rPr>
                <w:rFonts w:ascii="Arial" w:hAnsi="Arial" w:eastAsia="Arial" w:cs="Arial"/>
                <w:i/>
                <w:sz w:val="20"/>
                <w:szCs w:val="20"/>
              </w:rPr>
            </w:pPr>
            <w:r>
              <w:rPr>
                <w:rFonts w:eastAsia="Arial" w:cs="Arial" w:ascii="Arial" w:hAnsi="Arial"/>
                <w:i/>
                <w:sz w:val="20"/>
                <w:szCs w:val="20"/>
              </w:rPr>
              <w:t>Upper 95%</w:t>
            </w:r>
          </w:p>
        </w:tc>
      </w:tr>
      <w:tr>
        <w:trPr>
          <w:trHeight w:val="260" w:hRule="atLeast"/>
        </w:trPr>
        <w:tc>
          <w:tcPr>
            <w:tcW w:w="1080" w:type="dxa"/>
            <w:tcBorders/>
            <w:shd w:fill="auto" w:val="clear"/>
            <w:vAlign w:val="bottom"/>
          </w:tcPr>
          <w:p>
            <w:pPr>
              <w:pStyle w:val="normal1"/>
              <w:spacing w:lineRule="auto" w:line="240" w:before="0" w:after="0"/>
              <w:rPr>
                <w:rFonts w:ascii="Arial" w:hAnsi="Arial" w:eastAsia="Arial" w:cs="Arial"/>
                <w:sz w:val="20"/>
                <w:szCs w:val="20"/>
              </w:rPr>
            </w:pPr>
            <w:r>
              <w:rPr>
                <w:rFonts w:eastAsia="Arial" w:cs="Arial" w:ascii="Arial" w:hAnsi="Arial"/>
                <w:sz w:val="20"/>
                <w:szCs w:val="20"/>
              </w:rPr>
              <w:t>Intercept</w:t>
            </w:r>
          </w:p>
        </w:tc>
        <w:tc>
          <w:tcPr>
            <w:tcW w:w="1440" w:type="dxa"/>
            <w:tcBorders/>
            <w:shd w:fill="auto" w:val="clear"/>
            <w:vAlign w:val="bottom"/>
          </w:tcPr>
          <w:p>
            <w:pPr>
              <w:pStyle w:val="normal1"/>
              <w:spacing w:lineRule="auto" w:line="240" w:before="0" w:after="0"/>
              <w:jc w:val="end"/>
              <w:rPr>
                <w:rFonts w:ascii="Arial" w:hAnsi="Arial" w:eastAsia="Arial" w:cs="Arial"/>
                <w:sz w:val="20"/>
                <w:szCs w:val="20"/>
              </w:rPr>
            </w:pPr>
            <w:r>
              <w:rPr>
                <w:rFonts w:eastAsia="Arial" w:cs="Arial" w:ascii="Arial" w:hAnsi="Arial"/>
                <w:sz w:val="20"/>
                <w:szCs w:val="20"/>
              </w:rPr>
              <w:t>166.652</w:t>
            </w:r>
          </w:p>
        </w:tc>
        <w:tc>
          <w:tcPr>
            <w:tcW w:w="1739" w:type="dxa"/>
            <w:tcBorders/>
            <w:shd w:fill="auto" w:val="clear"/>
            <w:vAlign w:val="bottom"/>
          </w:tcPr>
          <w:p>
            <w:pPr>
              <w:pStyle w:val="normal1"/>
              <w:spacing w:lineRule="auto" w:line="240" w:before="0" w:after="0"/>
              <w:jc w:val="end"/>
              <w:rPr>
                <w:rFonts w:ascii="Arial" w:hAnsi="Arial" w:eastAsia="Arial" w:cs="Arial"/>
                <w:sz w:val="20"/>
                <w:szCs w:val="20"/>
              </w:rPr>
            </w:pPr>
            <w:r>
              <w:rPr>
                <w:rFonts w:eastAsia="Arial" w:cs="Arial" w:ascii="Arial" w:hAnsi="Arial"/>
                <w:sz w:val="20"/>
                <w:szCs w:val="20"/>
              </w:rPr>
              <w:t>40.498</w:t>
            </w:r>
          </w:p>
        </w:tc>
        <w:tc>
          <w:tcPr>
            <w:tcW w:w="1300" w:type="dxa"/>
            <w:tcBorders/>
            <w:shd w:fill="auto" w:val="clear"/>
            <w:vAlign w:val="bottom"/>
          </w:tcPr>
          <w:p>
            <w:pPr>
              <w:pStyle w:val="normal1"/>
              <w:spacing w:lineRule="auto" w:line="240" w:before="0" w:after="0"/>
              <w:jc w:val="end"/>
              <w:rPr>
                <w:rFonts w:ascii="Arial" w:hAnsi="Arial" w:eastAsia="Arial" w:cs="Arial"/>
                <w:sz w:val="20"/>
                <w:szCs w:val="20"/>
              </w:rPr>
            </w:pPr>
            <w:r>
              <w:rPr>
                <w:rFonts w:eastAsia="Arial" w:cs="Arial" w:ascii="Arial" w:hAnsi="Arial"/>
                <w:sz w:val="20"/>
                <w:szCs w:val="20"/>
              </w:rPr>
              <w:t>4.115</w:t>
            </w:r>
          </w:p>
        </w:tc>
        <w:tc>
          <w:tcPr>
            <w:tcW w:w="1301" w:type="dxa"/>
            <w:tcBorders/>
            <w:shd w:fill="auto" w:val="clear"/>
            <w:vAlign w:val="bottom"/>
          </w:tcPr>
          <w:p>
            <w:pPr>
              <w:pStyle w:val="normal1"/>
              <w:spacing w:lineRule="auto" w:line="240" w:before="0" w:after="0"/>
              <w:jc w:val="end"/>
              <w:rPr>
                <w:rFonts w:ascii="Arial" w:hAnsi="Arial" w:eastAsia="Arial" w:cs="Arial"/>
                <w:sz w:val="20"/>
                <w:szCs w:val="20"/>
              </w:rPr>
            </w:pPr>
            <w:r>
              <w:rPr>
                <w:rFonts w:eastAsia="Arial" w:cs="Arial" w:ascii="Arial" w:hAnsi="Arial"/>
                <w:sz w:val="20"/>
                <w:szCs w:val="20"/>
              </w:rPr>
              <w:t>8.1E-05</w:t>
            </w:r>
          </w:p>
        </w:tc>
        <w:tc>
          <w:tcPr>
            <w:tcW w:w="1300" w:type="dxa"/>
            <w:tcBorders/>
            <w:shd w:fill="auto" w:val="clear"/>
            <w:vAlign w:val="bottom"/>
          </w:tcPr>
          <w:p>
            <w:pPr>
              <w:pStyle w:val="normal1"/>
              <w:spacing w:lineRule="auto" w:line="240" w:before="0" w:after="0"/>
              <w:jc w:val="end"/>
              <w:rPr>
                <w:rFonts w:ascii="Arial" w:hAnsi="Arial" w:eastAsia="Arial" w:cs="Arial"/>
                <w:sz w:val="20"/>
                <w:szCs w:val="20"/>
              </w:rPr>
            </w:pPr>
            <w:r>
              <w:rPr>
                <w:rFonts w:eastAsia="Arial" w:cs="Arial" w:ascii="Arial" w:hAnsi="Arial"/>
                <w:sz w:val="20"/>
                <w:szCs w:val="20"/>
              </w:rPr>
              <w:t>86.285</w:t>
            </w:r>
          </w:p>
        </w:tc>
        <w:tc>
          <w:tcPr>
            <w:tcW w:w="1300" w:type="dxa"/>
            <w:tcBorders/>
            <w:shd w:fill="auto" w:val="clear"/>
            <w:vAlign w:val="bottom"/>
          </w:tcPr>
          <w:p>
            <w:pPr>
              <w:pStyle w:val="normal1"/>
              <w:spacing w:lineRule="auto" w:line="240" w:before="0" w:after="0"/>
              <w:jc w:val="end"/>
              <w:rPr>
                <w:rFonts w:ascii="Arial" w:hAnsi="Arial" w:eastAsia="Arial" w:cs="Arial"/>
                <w:sz w:val="20"/>
                <w:szCs w:val="20"/>
              </w:rPr>
            </w:pPr>
            <w:r>
              <w:rPr>
                <w:rFonts w:eastAsia="Arial" w:cs="Arial" w:ascii="Arial" w:hAnsi="Arial"/>
                <w:sz w:val="20"/>
                <w:szCs w:val="20"/>
              </w:rPr>
              <w:t>247.020</w:t>
            </w:r>
          </w:p>
        </w:tc>
      </w:tr>
      <w:tr>
        <w:trPr>
          <w:trHeight w:val="280" w:hRule="atLeast"/>
        </w:trPr>
        <w:tc>
          <w:tcPr>
            <w:tcW w:w="1080" w:type="dxa"/>
            <w:tcBorders>
              <w:bottom w:val="single" w:sz="8" w:space="0" w:color="000000"/>
            </w:tcBorders>
            <w:shd w:fill="auto" w:val="clear"/>
            <w:vAlign w:val="bottom"/>
          </w:tcPr>
          <w:p>
            <w:pPr>
              <w:pStyle w:val="normal1"/>
              <w:spacing w:lineRule="auto" w:line="240" w:before="0" w:after="0"/>
              <w:rPr>
                <w:rFonts w:ascii="Arial" w:hAnsi="Arial" w:eastAsia="Arial" w:cs="Arial"/>
                <w:sz w:val="20"/>
                <w:szCs w:val="20"/>
              </w:rPr>
            </w:pPr>
            <w:r>
              <w:rPr>
                <w:rFonts w:eastAsia="Arial" w:cs="Arial" w:ascii="Arial" w:hAnsi="Arial"/>
                <w:sz w:val="20"/>
                <w:szCs w:val="20"/>
              </w:rPr>
              <w:t>Year</w:t>
            </w:r>
          </w:p>
        </w:tc>
        <w:tc>
          <w:tcPr>
            <w:tcW w:w="1440" w:type="dxa"/>
            <w:tcBorders>
              <w:bottom w:val="single" w:sz="8" w:space="0" w:color="000000"/>
            </w:tcBorders>
            <w:shd w:fill="auto" w:val="clear"/>
            <w:vAlign w:val="bottom"/>
          </w:tcPr>
          <w:p>
            <w:pPr>
              <w:pStyle w:val="normal1"/>
              <w:spacing w:lineRule="auto" w:line="240" w:before="0" w:after="0"/>
              <w:jc w:val="end"/>
              <w:rPr>
                <w:rFonts w:ascii="Arial" w:hAnsi="Arial" w:eastAsia="Arial" w:cs="Arial"/>
                <w:sz w:val="20"/>
                <w:szCs w:val="20"/>
              </w:rPr>
            </w:pPr>
            <w:r>
              <w:rPr>
                <w:rFonts w:eastAsia="Arial" w:cs="Arial" w:ascii="Arial" w:hAnsi="Arial"/>
                <w:sz w:val="20"/>
                <w:szCs w:val="20"/>
              </w:rPr>
              <w:t>-0.077</w:t>
            </w:r>
          </w:p>
        </w:tc>
        <w:tc>
          <w:tcPr>
            <w:tcW w:w="1739" w:type="dxa"/>
            <w:tcBorders>
              <w:bottom w:val="single" w:sz="8" w:space="0" w:color="000000"/>
            </w:tcBorders>
            <w:shd w:fill="auto" w:val="clear"/>
            <w:vAlign w:val="bottom"/>
          </w:tcPr>
          <w:p>
            <w:pPr>
              <w:pStyle w:val="normal1"/>
              <w:spacing w:lineRule="auto" w:line="240" w:before="0" w:after="0"/>
              <w:jc w:val="end"/>
              <w:rPr>
                <w:rFonts w:ascii="Arial" w:hAnsi="Arial" w:eastAsia="Arial" w:cs="Arial"/>
                <w:sz w:val="20"/>
                <w:szCs w:val="20"/>
              </w:rPr>
            </w:pPr>
            <w:r>
              <w:rPr>
                <w:rFonts w:eastAsia="Arial" w:cs="Arial" w:ascii="Arial" w:hAnsi="Arial"/>
                <w:sz w:val="20"/>
                <w:szCs w:val="20"/>
              </w:rPr>
              <w:t>0.021</w:t>
            </w:r>
          </w:p>
        </w:tc>
        <w:tc>
          <w:tcPr>
            <w:tcW w:w="1300" w:type="dxa"/>
            <w:tcBorders>
              <w:bottom w:val="single" w:sz="8" w:space="0" w:color="000000"/>
            </w:tcBorders>
            <w:shd w:fill="auto" w:val="clear"/>
            <w:vAlign w:val="bottom"/>
          </w:tcPr>
          <w:p>
            <w:pPr>
              <w:pStyle w:val="normal1"/>
              <w:spacing w:lineRule="auto" w:line="240" w:before="0" w:after="0"/>
              <w:jc w:val="end"/>
              <w:rPr>
                <w:rFonts w:ascii="Arial" w:hAnsi="Arial" w:eastAsia="Arial" w:cs="Arial"/>
                <w:sz w:val="20"/>
                <w:szCs w:val="20"/>
              </w:rPr>
            </w:pPr>
            <w:r>
              <w:rPr>
                <w:rFonts w:eastAsia="Arial" w:cs="Arial" w:ascii="Arial" w:hAnsi="Arial"/>
                <w:sz w:val="20"/>
                <w:szCs w:val="20"/>
              </w:rPr>
              <w:t>-3.745</w:t>
            </w:r>
          </w:p>
        </w:tc>
        <w:tc>
          <w:tcPr>
            <w:tcW w:w="1301" w:type="dxa"/>
            <w:tcBorders>
              <w:bottom w:val="single" w:sz="8" w:space="0" w:color="000000"/>
            </w:tcBorders>
            <w:shd w:fill="auto" w:val="clear"/>
            <w:vAlign w:val="bottom"/>
          </w:tcPr>
          <w:p>
            <w:pPr>
              <w:pStyle w:val="normal1"/>
              <w:spacing w:lineRule="auto" w:line="240" w:before="0" w:after="0"/>
              <w:jc w:val="end"/>
              <w:rPr>
                <w:rFonts w:ascii="Arial" w:hAnsi="Arial" w:eastAsia="Arial" w:cs="Arial"/>
                <w:sz w:val="20"/>
                <w:szCs w:val="20"/>
              </w:rPr>
            </w:pPr>
            <w:r>
              <w:rPr>
                <w:rFonts w:eastAsia="Arial" w:cs="Arial" w:ascii="Arial" w:hAnsi="Arial"/>
                <w:sz w:val="20"/>
                <w:szCs w:val="20"/>
              </w:rPr>
              <w:t>0.00031</w:t>
            </w:r>
          </w:p>
        </w:tc>
        <w:tc>
          <w:tcPr>
            <w:tcW w:w="1300" w:type="dxa"/>
            <w:tcBorders>
              <w:bottom w:val="single" w:sz="8" w:space="0" w:color="000000"/>
            </w:tcBorders>
            <w:shd w:fill="auto" w:val="clear"/>
            <w:vAlign w:val="bottom"/>
          </w:tcPr>
          <w:p>
            <w:pPr>
              <w:pStyle w:val="normal1"/>
              <w:spacing w:lineRule="auto" w:line="240" w:before="0" w:after="0"/>
              <w:jc w:val="end"/>
              <w:rPr>
                <w:rFonts w:ascii="Arial" w:hAnsi="Arial" w:eastAsia="Arial" w:cs="Arial"/>
                <w:sz w:val="20"/>
                <w:szCs w:val="20"/>
              </w:rPr>
            </w:pPr>
            <w:r>
              <w:rPr>
                <w:rFonts w:eastAsia="Arial" w:cs="Arial" w:ascii="Arial" w:hAnsi="Arial"/>
                <w:sz w:val="20"/>
                <w:szCs w:val="20"/>
              </w:rPr>
              <w:t>-0.118</w:t>
            </w:r>
          </w:p>
        </w:tc>
        <w:tc>
          <w:tcPr>
            <w:tcW w:w="1300" w:type="dxa"/>
            <w:tcBorders>
              <w:bottom w:val="single" w:sz="8" w:space="0" w:color="000000"/>
            </w:tcBorders>
            <w:shd w:fill="auto" w:val="clear"/>
            <w:vAlign w:val="bottom"/>
          </w:tcPr>
          <w:p>
            <w:pPr>
              <w:pStyle w:val="normal1"/>
              <w:spacing w:lineRule="auto" w:line="240" w:before="0" w:after="0"/>
              <w:jc w:val="end"/>
              <w:rPr>
                <w:rFonts w:ascii="Arial" w:hAnsi="Arial" w:eastAsia="Arial" w:cs="Arial"/>
                <w:sz w:val="20"/>
                <w:szCs w:val="20"/>
              </w:rPr>
            </w:pPr>
            <w:r>
              <w:rPr>
                <w:rFonts w:eastAsia="Arial" w:cs="Arial" w:ascii="Arial" w:hAnsi="Arial"/>
                <w:sz w:val="20"/>
                <w:szCs w:val="20"/>
              </w:rPr>
              <w:t>-0.036</w:t>
            </w:r>
          </w:p>
        </w:tc>
      </w:tr>
    </w:tbl>
    <w:p>
      <w:pPr>
        <w:pStyle w:val="normal1"/>
        <w:spacing w:lineRule="auto" w:line="240" w:before="0" w:after="120"/>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4"/>
        </w:numPr>
        <w:spacing w:lineRule="auto" w:line="240" w:before="0" w:after="0"/>
        <w:ind w:hanging="360" w:start="720"/>
        <w:rPr>
          <w:rFonts w:ascii="Times New Roman" w:hAnsi="Times New Roman" w:eastAsia="Times New Roman" w:cs="Times New Roman"/>
        </w:rPr>
      </w:pPr>
      <w:r>
        <w:rPr>
          <w:rFonts w:eastAsia="Times New Roman" w:cs="Times New Roman" w:ascii="Times New Roman" w:hAnsi="Times New Roman"/>
        </w:rPr>
        <w:t xml:space="preserve">Null hypothesis is </w:t>
      </w:r>
      <w:r>
        <w:rPr/>
      </w:r>
      <m:oMath xmlns:m="http://schemas.openxmlformats.org/officeDocument/2006/math">
        <m:sSub>
          <m:e>
            <m:r>
              <m:t xml:space="preserve">H</m:t>
            </m:r>
          </m:e>
          <m:sub>
            <m:r>
              <m:t xml:space="preserve">0</m:t>
            </m:r>
          </m:sub>
        </m:sSub>
        <m:r>
          <m:t xml:space="preserve">:</m:t>
        </m:r>
        <m:r>
          <m:t xml:space="preserve">Slope</m:t>
        </m:r>
        <m:r>
          <m:rPr>
            <m:lit/>
            <m:nor/>
          </m:rPr>
          <m:t xml:space="preserve"> </m:t>
        </m:r>
        <m:r>
          <m:rPr>
            <m:lit/>
            <m:nor/>
          </m:rPr>
          <m:t xml:space="preserve">=</m:t>
        </m:r>
        <m:r>
          <m:t xml:space="preserve">0.</m:t>
        </m:r>
      </m:oMath>
    </w:p>
    <w:p>
      <w:pPr>
        <w:pStyle w:val="normal1"/>
        <w:spacing w:lineRule="auto" w:line="240" w:before="0" w:after="0"/>
        <w:ind w:start="7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ind w:start="720"/>
        <w:rPr>
          <w:rFonts w:ascii="Times New Roman" w:hAnsi="Times New Roman" w:eastAsia="Times New Roman" w:cs="Times New Roman"/>
        </w:rPr>
      </w:pPr>
      <w:r>
        <w:rPr>
          <w:rFonts w:eastAsia="Times New Roman" w:cs="Times New Roman" w:ascii="Times New Roman" w:hAnsi="Times New Roman"/>
        </w:rPr>
        <w:t xml:space="preserve">Alternate hypothesis is </w:t>
      </w:r>
      <w:r>
        <w:rPr/>
      </w:r>
      <m:oMath xmlns:m="http://schemas.openxmlformats.org/officeDocument/2006/math">
        <m:sSub>
          <m:e>
            <m:r>
              <m:t xml:space="preserve">H</m:t>
            </m:r>
          </m:e>
          <m:sub>
            <m:r>
              <m:t xml:space="preserve">a</m:t>
            </m:r>
          </m:sub>
        </m:sSub>
        <m:r>
          <m:t xml:space="preserve">:</m:t>
        </m:r>
        <m:r>
          <m:t xml:space="preserve">Slope</m:t>
        </m:r>
        <m:r>
          <m:rPr>
            <m:lit/>
            <m:nor/>
          </m:rPr>
          <m:t xml:space="preserve"> </m:t>
        </m:r>
        <m:r>
          <m:t xml:space="preserve">≠</m:t>
        </m:r>
        <m:r>
          <m:t xml:space="preserve">0.</m:t>
        </m:r>
      </m:oMath>
    </w:p>
    <w:p>
      <w:pPr>
        <w:pStyle w:val="normal1"/>
        <w:spacing w:lineRule="auto" w:line="240" w:before="0" w:after="0"/>
        <w:ind w:start="7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ind w:start="720"/>
        <w:rPr>
          <w:rFonts w:ascii="Times New Roman" w:hAnsi="Times New Roman" w:eastAsia="Times New Roman" w:cs="Times New Roman"/>
        </w:rPr>
      </w:pPr>
      <w:r>
        <w:rPr>
          <w:rFonts w:eastAsia="Times New Roman" w:cs="Times New Roman" w:ascii="Times New Roman" w:hAnsi="Times New Roman"/>
        </w:rPr>
        <w:t xml:space="preserve">Test statistic is </w:t>
      </w:r>
      <w:r>
        <w:rPr/>
      </w:r>
      <m:oMath xmlns:m="http://schemas.openxmlformats.org/officeDocument/2006/math">
        <m:r>
          <m:t xml:space="preserve">t</m:t>
        </m:r>
        <m:r>
          <m:rPr>
            <m:lit/>
            <m:nor/>
          </m:rPr>
          <m:t xml:space="preserve">=</m:t>
        </m:r>
        <m:r>
          <m:rPr>
            <m:lit/>
            <m:nor/>
          </m:rPr>
          <m:t xml:space="preserve">-</m:t>
        </m:r>
        <m:r>
          <m:t xml:space="preserve">3.745</m:t>
        </m:r>
        <m:r>
          <m:t xml:space="preserve">.</m:t>
        </m:r>
      </m:oMath>
    </w:p>
    <w:p>
      <w:pPr>
        <w:pStyle w:val="normal1"/>
        <w:spacing w:lineRule="auto" w:line="240" w:before="0" w:after="0"/>
        <w:ind w:start="7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ind w:start="720"/>
        <w:rPr>
          <w:rFonts w:ascii="Times New Roman" w:hAnsi="Times New Roman" w:eastAsia="Times New Roman" w:cs="Times New Roman"/>
        </w:rPr>
      </w:pPr>
      <w:r>
        <w:rPr>
          <w:rFonts w:eastAsia="Times New Roman" w:cs="Times New Roman" w:ascii="Times New Roman" w:hAnsi="Times New Roman"/>
        </w:rPr>
        <w:t xml:space="preserve">p-value is </w:t>
      </w:r>
      <w:r>
        <w:rPr/>
      </w:r>
      <m:oMath xmlns:m="http://schemas.openxmlformats.org/officeDocument/2006/math">
        <m:r>
          <m:t xml:space="preserve">p</m:t>
        </m:r>
        <m:r>
          <m:rPr>
            <m:lit/>
            <m:nor/>
          </m:rPr>
          <m:t xml:space="preserve">=</m:t>
        </m:r>
        <m:r>
          <m:t xml:space="preserve">0.00031</m:t>
        </m:r>
        <m:r>
          <m:t xml:space="preserve">.</m:t>
        </m:r>
      </m:oMath>
    </w:p>
    <w:p>
      <w:pPr>
        <w:pStyle w:val="normal1"/>
        <w:spacing w:lineRule="auto" w:line="240" w:before="0" w:after="0"/>
        <w:ind w:start="7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ind w:start="720"/>
        <w:rPr>
          <w:rFonts w:ascii="Times New Roman" w:hAnsi="Times New Roman" w:eastAsia="Times New Roman" w:cs="Times New Roman"/>
        </w:rPr>
      </w:pPr>
      <w:r>
        <w:rPr>
          <w:rFonts w:eastAsia="Times New Roman" w:cs="Times New Roman" w:ascii="Times New Roman" w:hAnsi="Times New Roman"/>
        </w:rPr>
        <w:t xml:space="preserve">Since the </w:t>
      </w:r>
      <w:r>
        <w:rPr/>
      </w:r>
      <m:oMath xmlns:m="http://schemas.openxmlformats.org/officeDocument/2006/math">
        <m:r>
          <m:t xml:space="preserve">p</m:t>
        </m:r>
      </m:oMath>
      <w:r>
        <w:rPr>
          <w:rFonts w:eastAsia="Times New Roman" w:cs="Times New Roman" w:ascii="Times New Roman" w:hAnsi="Times New Roman"/>
        </w:rPr>
        <w:t>-value is small, we have evidence that the line does have a significant downward slope—in other words, that the melting date is moving earlier.</w:t>
      </w:r>
    </w:p>
    <w:p>
      <w:pPr>
        <w:pStyle w:val="normal1"/>
        <w:spacing w:lineRule="auto" w:line="240" w:before="0" w:after="0"/>
        <w:rPr>
          <w:rFonts w:ascii="Times New Roman" w:hAnsi="Times New Roman" w:eastAsia="Times New Roman" w:cs="Times New Roman"/>
        </w:rPr>
      </w:pPr>
      <w:r>
        <w:rPr>
          <w:rFonts w:eastAsia="Times New Roman" w:cs="Times New Roman" w:ascii="Times New Roman" w:hAnsi="Times New Roman"/>
        </w:rPr>
      </w:r>
    </w:p>
    <w:sectPr>
      <w:footnotePr>
        <w:numFmt w:val="decimal"/>
      </w:footnote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p>
  </w:footnote>
  <w:footnote w:id="1" w:type="continuationSeparator">
    <w:p>
      <w:r/>
    </w:p>
  </w:footnote>
  <w:footnote w:id="2">
    <w:p>
      <w:pPr>
        <w:pStyle w:val="normal1"/>
        <w:keepNext w:val="false"/>
        <w:keepLines w:val="false"/>
        <w:widowControl/>
        <w:pBdr/>
        <w:shd w:val="clear" w:fill="auto"/>
        <w:spacing w:lineRule="auto" w:line="240" w:before="0" w:after="0"/>
        <w:ind w:hanging="0" w:start="0" w:end="0"/>
        <w:jc w:val="start"/>
        <w:rPr>
          <w:rFonts w:ascii="Calibri" w:hAnsi="Calibri" w:eastAsia="Calibri" w:cs="Calibri"/>
          <w:b w:val="false"/>
          <w:i w:val="false"/>
          <w:caps w:val="false"/>
          <w:smallCaps w:val="false"/>
          <w:strike w:val="false"/>
          <w:dstrike w:val="false"/>
          <w:color w:val="000000"/>
          <w:position w:val="0"/>
          <w:sz w:val="16"/>
          <w:szCs w:val="16"/>
          <w:u w:val="none"/>
          <w:shd w:fill="auto" w:val="clear"/>
          <w:vertAlign w:val="baseline"/>
        </w:rPr>
      </w:pPr>
      <w:r>
        <w:rPr>
          <w:rStyle w:val="FootnoteCharacters"/>
        </w:rPr>
        <w:footnoteRef/>
      </w:r>
      <w:r>
        <w:rPr>
          <w:rFonts w:eastAsia="Calibri" w:cs="Calibri"/>
          <w:b w:val="false"/>
          <w:i w:val="false"/>
          <w:caps w:val="false"/>
          <w:smallCaps w:val="false"/>
          <w:strike w:val="false"/>
          <w:dstrike w:val="false"/>
          <w:color w:val="000000"/>
          <w:position w:val="0"/>
          <w:sz w:val="16"/>
          <w:szCs w:val="16"/>
          <w:u w:val="none"/>
          <w:shd w:fill="auto" w:val="clear"/>
          <w:vertAlign w:val="baseline"/>
        </w:rPr>
        <w:t xml:space="preserve"> </w:t>
      </w:r>
      <w:hyperlink r:id="rId1">
        <w:r>
          <w:rPr>
            <w:rStyle w:val="Hyperlink"/>
            <w:rFonts w:eastAsia="Calibri" w:cs="Calibri"/>
            <w:b w:val="false"/>
            <w:i w:val="false"/>
            <w:caps w:val="false"/>
            <w:smallCaps w:val="false"/>
            <w:strike w:val="false"/>
            <w:dstrike w:val="false"/>
            <w:color w:val="0000FF"/>
            <w:position w:val="0"/>
            <w:sz w:val="16"/>
            <w:szCs w:val="16"/>
            <w:u w:val="single"/>
            <w:shd w:fill="auto" w:val="clear"/>
            <w:vertAlign w:val="baseline"/>
          </w:rPr>
          <w:t>http://www.nenanaakiceclassic.com/</w:t>
        </w:r>
      </w:hyperlink>
      <w:r>
        <w:rPr>
          <w:rFonts w:eastAsia="Calibri" w:cs="Calibri"/>
          <w:b w:val="false"/>
          <w:i w:val="false"/>
          <w:caps w:val="false"/>
          <w:smallCaps w:val="false"/>
          <w:strike w:val="false"/>
          <w:dstrike w:val="false"/>
          <w:color w:val="000000"/>
          <w:position w:val="0"/>
          <w:sz w:val="16"/>
          <w:szCs w:val="16"/>
          <w:u w:val="none"/>
          <w:shd w:fill="auto" w:val="clear"/>
          <w:vertAlign w:val="baseline"/>
        </w:rPr>
        <w:t xml:space="preserve"> </w:t>
      </w:r>
    </w:p>
  </w:footnote>
  <w:footnote w:id="3">
    <w:p>
      <w:pPr>
        <w:pStyle w:val="normal1"/>
        <w:keepNext w:val="false"/>
        <w:keepLines w:val="false"/>
        <w:widowControl/>
        <w:pBdr/>
        <w:shd w:val="clear" w:fill="auto"/>
        <w:spacing w:lineRule="auto" w:line="240" w:before="0" w:after="0"/>
        <w:ind w:hanging="0" w:start="0" w:end="0"/>
        <w:jc w:val="start"/>
        <w:rPr>
          <w:rFonts w:ascii="Calibri" w:hAnsi="Calibri" w:eastAsia="Calibri" w:cs="Calibri"/>
          <w:b w:val="false"/>
          <w:i w:val="false"/>
          <w:caps w:val="false"/>
          <w:smallCaps w:val="false"/>
          <w:strike w:val="false"/>
          <w:dstrike w:val="false"/>
          <w:color w:val="000000"/>
          <w:position w:val="0"/>
          <w:sz w:val="16"/>
          <w:szCs w:val="16"/>
          <w:u w:val="none"/>
          <w:shd w:fill="auto" w:val="clear"/>
          <w:vertAlign w:val="baseline"/>
        </w:rPr>
      </w:pPr>
      <w:r>
        <w:rPr>
          <w:rStyle w:val="FootnoteCharacters"/>
        </w:rPr>
        <w:footnoteRef/>
      </w:r>
      <w:r>
        <w:rPr>
          <w:rFonts w:eastAsia="Calibri" w:cs="Calibri"/>
          <w:b w:val="false"/>
          <w:i w:val="false"/>
          <w:caps w:val="false"/>
          <w:smallCaps w:val="false"/>
          <w:strike w:val="false"/>
          <w:dstrike w:val="false"/>
          <w:color w:val="000000"/>
          <w:position w:val="0"/>
          <w:sz w:val="16"/>
          <w:szCs w:val="16"/>
          <w:u w:val="none"/>
          <w:shd w:fill="auto" w:val="clear"/>
          <w:vertAlign w:val="baseline"/>
        </w:rPr>
        <w:t xml:space="preserve"> </w:t>
      </w:r>
      <w:hyperlink r:id="rId2">
        <w:r>
          <w:rPr>
            <w:rStyle w:val="Hyperlink"/>
            <w:rFonts w:eastAsia="Calibri" w:cs="Calibri"/>
            <w:b w:val="false"/>
            <w:i w:val="false"/>
            <w:caps w:val="false"/>
            <w:smallCaps w:val="false"/>
            <w:strike w:val="false"/>
            <w:dstrike w:val="false"/>
            <w:color w:val="0000FF"/>
            <w:position w:val="0"/>
            <w:sz w:val="16"/>
            <w:szCs w:val="16"/>
            <w:u w:val="single"/>
            <w:shd w:fill="auto" w:val="clear"/>
            <w:vertAlign w:val="baseline"/>
          </w:rPr>
          <w:t>http://www.newsminer.com/news/local_news/tripod-raising-starts-the-clock-for-th-nenana-ice-classic/article_7a4d198e-e43d-11e5-8ce4-e781317b8ca3.html</w:t>
        </w:r>
      </w:hyperlink>
      <w:r>
        <w:rPr>
          <w:rFonts w:eastAsia="Calibri" w:cs="Calibri"/>
          <w:b w:val="false"/>
          <w:i w:val="false"/>
          <w:caps w:val="false"/>
          <w:smallCaps w:val="false"/>
          <w:strike w:val="false"/>
          <w:dstrike w:val="false"/>
          <w:color w:val="000000"/>
          <w:position w:val="0"/>
          <w:sz w:val="16"/>
          <w:szCs w:val="16"/>
          <w:u w:val="none"/>
          <w:shd w:fill="auto" w:val="clear"/>
          <w:vertAlign w:val="baseline"/>
        </w:rPr>
        <w:t xml:space="preserv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440" w:hanging="720"/>
      </w:pPr>
      <w:rPr>
        <w:rFonts w:ascii="Times New Roman" w:hAnsi="Times New Roman" w:eastAsia="Times New Roman" w:cs="Times New Roman"/>
        <w:b/>
        <w:i w:val="false"/>
        <w:sz w:val="24"/>
        <w:szCs w:val="24"/>
      </w:rPr>
    </w:lvl>
    <w:lvl w:ilvl="1">
      <w:start w:val="1"/>
      <w:numFmt w:val="lowerLetter"/>
      <w:lvlText w:val="(%2)"/>
      <w:lvlJc w:val="start"/>
      <w:pPr>
        <w:tabs>
          <w:tab w:val="num" w:pos="0"/>
        </w:tabs>
        <w:ind w:start="648" w:hanging="288"/>
      </w:pPr>
      <w:rPr>
        <w:rFonts w:ascii="Times New Roman" w:hAnsi="Times New Roman" w:eastAsia="Times New Roman" w:cs="Times New Roman"/>
        <w:b w:val="false"/>
        <w:i w:val="false"/>
        <w:sz w:val="24"/>
        <w:szCs w:val="24"/>
      </w:rPr>
    </w:lvl>
    <w:lvl w:ilvl="2">
      <w:start w:val="1"/>
      <w:numFmt w:val="lowerRoman"/>
      <w:lvlText w:val="%3."/>
      <w:lvlJc w:val="end"/>
      <w:pPr>
        <w:tabs>
          <w:tab w:val="num" w:pos="0"/>
        </w:tabs>
        <w:ind w:start="2520" w:hanging="180"/>
      </w:pPr>
      <w:rPr>
        <w:b/>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
    <w:lvl w:ilvl="0">
      <w:start w:val="1"/>
      <w:numFmt w:val="decimal"/>
      <w:lvlText w:val="%1."/>
      <w:lvlJc w:val="start"/>
      <w:pPr>
        <w:tabs>
          <w:tab w:val="num" w:pos="0"/>
        </w:tabs>
        <w:ind w:start="360" w:hanging="360"/>
      </w:pPr>
      <w:rPr>
        <w:b/>
        <w:i w:val="false"/>
        <w:sz w:val="22"/>
        <w:szCs w:val="22"/>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120"/>
    </w:pPr>
    <w:rPr>
      <w:b/>
      <w:sz w:val="48"/>
      <w:szCs w:val="48"/>
    </w:rPr>
  </w:style>
  <w:style w:type="paragraph" w:styleId="Heading2">
    <w:name w:val="heading 2"/>
    <w:basedOn w:val="normal1"/>
    <w:next w:val="normal1"/>
    <w:qFormat/>
    <w:pPr>
      <w:keepNext w:val="true"/>
      <w:keepLines/>
      <w:spacing w:lineRule="auto" w:line="240" w:before="360" w:after="80"/>
    </w:pPr>
    <w:rPr>
      <w:b/>
      <w:sz w:val="36"/>
      <w:szCs w:val="36"/>
    </w:rPr>
  </w:style>
  <w:style w:type="paragraph" w:styleId="Heading3">
    <w:name w:val="heading 3"/>
    <w:basedOn w:val="normal1"/>
    <w:next w:val="normal1"/>
    <w:qFormat/>
    <w:pPr>
      <w:keepNext w:val="true"/>
      <w:keepLines/>
      <w:spacing w:lineRule="auto" w:line="240" w:before="280" w:after="80"/>
    </w:pPr>
    <w:rPr>
      <w:b/>
      <w:sz w:val="28"/>
      <w:szCs w:val="28"/>
    </w:rPr>
  </w:style>
  <w:style w:type="paragraph" w:styleId="Heading4">
    <w:name w:val="heading 4"/>
    <w:basedOn w:val="normal1"/>
    <w:next w:val="normal1"/>
    <w:qFormat/>
    <w:pPr>
      <w:keepNext w:val="true"/>
      <w:keepLines/>
      <w:spacing w:lineRule="auto" w:line="240" w:before="240" w:after="40"/>
    </w:pPr>
    <w:rPr>
      <w:b/>
      <w:sz w:val="24"/>
      <w:szCs w:val="24"/>
    </w:rPr>
  </w:style>
  <w:style w:type="paragraph" w:styleId="Heading5">
    <w:name w:val="heading 5"/>
    <w:basedOn w:val="normal1"/>
    <w:next w:val="normal1"/>
    <w:qFormat/>
    <w:pPr>
      <w:keepNext w:val="true"/>
      <w:keepLines/>
      <w:spacing w:lineRule="auto" w:line="240" w:before="220" w:after="40"/>
    </w:pPr>
    <w:rPr>
      <w:b/>
      <w:sz w:val="22"/>
      <w:szCs w:val="22"/>
    </w:rPr>
  </w:style>
  <w:style w:type="paragraph" w:styleId="Heading6">
    <w:name w:val="heading 6"/>
    <w:basedOn w:val="normal1"/>
    <w:next w:val="normal1"/>
    <w:qFormat/>
    <w:pPr>
      <w:keepNext w:val="true"/>
      <w:keepLines/>
      <w:spacing w:lineRule="auto" w:line="240" w:before="200" w:after="40"/>
    </w:pPr>
    <w:rPr>
      <w:b/>
      <w:sz w:val="20"/>
      <w:szCs w:val="20"/>
    </w:rPr>
  </w:style>
  <w:style w:type="character" w:styleId="Hyperlink">
    <w:name w:val="Hyperlink"/>
    <w:rPr>
      <w:color w:val="000080"/>
      <w:u w:val="single"/>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bidi w:val="0"/>
      <w:spacing w:lineRule="auto" w:line="276" w:before="0" w:after="200"/>
      <w:jc w:val="star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spacing w:lineRule="auto" w:line="240" w:before="480" w:after="120"/>
    </w:pPr>
    <w:rPr>
      <w:b/>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FootnoteText">
    <w:name w:val="footnote text"/>
    <w:basedOn w:val="Normal"/>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nenanaakiceclassic.com/" TargetMode="External"/><Relationship Id="rId2" Type="http://schemas.openxmlformats.org/officeDocument/2006/relationships/hyperlink" Target="http://www.newsminer.com/news/local_news/tripod-raising-starts-the-clock-for-th-nenana-ice-classic/article_7a4d198e-e43d-11e5-8ce4-e781317b8ca3.html"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ages>2</Pages>
  <Words>451</Words>
  <Characters>2310</Characters>
  <CharactersWithSpaces>2733</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2026-06-18T17:29:53Z</dcterms:modified>
  <cp:revision>1</cp:revision>
  <dc:subject/>
  <dc:title/>
</cp:coreProperties>
</file>