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7261" w14:textId="77777777" w:rsidR="00C24964" w:rsidRDefault="00C24964" w:rsidP="00C24964">
      <w:pPr>
        <w:pStyle w:val="Heading3"/>
        <w:shd w:val="clear" w:color="auto" w:fill="FFFFFF"/>
        <w:spacing w:before="360"/>
        <w:rPr>
          <w:rFonts w:ascii="Segoe UI" w:hAnsi="Segoe UI" w:cs="Segoe UI"/>
          <w:color w:val="212529"/>
        </w:rPr>
      </w:pPr>
      <w:r>
        <w:rPr>
          <w:rFonts w:ascii="Segoe UI" w:hAnsi="Segoe UI" w:cs="Segoe UI"/>
          <w:b/>
          <w:bCs/>
          <w:color w:val="212529"/>
        </w:rPr>
        <w:t>Write-up (30 points)</w:t>
      </w:r>
    </w:p>
    <w:p w14:paraId="5C9BBF9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Introduction: The introduction provides a clear explanation of the question and the dataset used to answer the question, including a description of all relevant variables in the dataset. (3 points)</w:t>
      </w:r>
    </w:p>
    <w:p w14:paraId="5E11E13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Justification of approach: The chosen approach and visualizations are clearly explained and justified. (3 points)</w:t>
      </w:r>
    </w:p>
    <w:p w14:paraId="6EF9E141"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Code: Code is correct, easy to read, properly formatted, and properly documented. (10 points)</w:t>
      </w:r>
    </w:p>
    <w:p w14:paraId="0343787F"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Visualization: The visualizations are appropriate, easy to read, and properly labeled. (10 points)</w:t>
      </w:r>
    </w:p>
    <w:p w14:paraId="248271A2" w14:textId="2EDC20D5" w:rsidR="00C24964" w:rsidRP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Discussion: Discussion of results is clear and correct, and it has some depth without begin excessively long. (4 points)</w:t>
      </w:r>
    </w:p>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proofErr w:type="gramStart"/>
      <w:r w:rsidRPr="000C7558">
        <w:rPr>
          <w:rFonts w:ascii="Helvetica Neue" w:eastAsia="Times New Roman" w:hAnsi="Helvetica Neue" w:cs="Times New Roman"/>
          <w:color w:val="333333"/>
          <w:sz w:val="21"/>
          <w:szCs w:val="21"/>
        </w:rPr>
        <w:t>reflects</w:t>
      </w:r>
      <w:proofErr w:type="gramEnd"/>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76728164"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lastRenderedPageBreak/>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06891000"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selected from this survey in the year </w:t>
      </w:r>
      <w:proofErr w:type="gramStart"/>
      <w:r w:rsidRPr="00F819E0">
        <w:rPr>
          <w:rFonts w:ascii="Segoe UI" w:eastAsia="Times New Roman" w:hAnsi="Segoe UI" w:cs="Segoe UI"/>
          <w:color w:val="24292F"/>
          <w:shd w:val="clear" w:color="auto" w:fill="FFFFFF"/>
        </w:rPr>
        <w:t>2019, and</w:t>
      </w:r>
      <w:proofErr w:type="gramEnd"/>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xml:space="preserve">, response time to address those requests and varying sociodemographic characteristics </w:t>
      </w:r>
      <w:r>
        <w:rPr>
          <w:rFonts w:ascii="Segoe UI" w:eastAsia="Times New Roman" w:hAnsi="Segoe UI" w:cs="Segoe UI"/>
          <w:color w:val="24292F"/>
        </w:rPr>
        <w:t>across different areas</w:t>
      </w:r>
      <w:r>
        <w:rPr>
          <w:rFonts w:ascii="Segoe UI" w:eastAsia="Times New Roman" w:hAnsi="Segoe UI" w:cs="Segoe UI"/>
          <w:color w:val="24292F"/>
        </w:rPr>
        <w:t xml:space="preserve">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77777777"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 xml:space="preserve">there is </w:t>
      </w:r>
      <w:proofErr w:type="spellStart"/>
      <w:r w:rsidR="00EC4DCC">
        <w:rPr>
          <w:rFonts w:ascii="Segoe UI" w:eastAsia="Times New Roman" w:hAnsi="Segoe UI" w:cs="Segoe UI"/>
          <w:color w:val="24292F"/>
        </w:rPr>
        <w:t>a</w:t>
      </w:r>
      <w:proofErr w:type="spellEnd"/>
      <w:r w:rsidR="00EC4DCC">
        <w:rPr>
          <w:rFonts w:ascii="Segoe UI" w:eastAsia="Times New Roman" w:hAnsi="Segoe UI" w:cs="Segoe UI"/>
          <w:color w:val="24292F"/>
        </w:rPr>
        <w:t xml:space="preserve">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proofErr w:type="gramStart"/>
      <w:r w:rsidR="00EB0A70">
        <w:rPr>
          <w:rFonts w:ascii="Segoe UI" w:eastAsia="Times New Roman" w:hAnsi="Segoe UI" w:cs="Segoe UI"/>
          <w:color w:val="24292F"/>
        </w:rPr>
        <w:t>more clear</w:t>
      </w:r>
      <w:proofErr w:type="gramEnd"/>
      <w:r w:rsidR="00EB0A70">
        <w:rPr>
          <w:rFonts w:ascii="Segoe UI" w:eastAsia="Times New Roman" w:hAnsi="Segoe UI" w:cs="Segoe UI"/>
          <w:color w:val="24292F"/>
        </w:rPr>
        <w:t xml:space="preserve"> way as we are able to see the v</w:t>
      </w:r>
      <w:r w:rsidR="006C1A46">
        <w:rPr>
          <w:rFonts w:ascii="Segoe UI" w:eastAsia="Times New Roman" w:hAnsi="Segoe UI" w:cs="Segoe UI"/>
          <w:color w:val="24292F"/>
        </w:rPr>
        <w:t xml:space="preserve">olume and request time for each request type for both the top and </w:t>
      </w:r>
      <w:r w:rsidR="006C1A46">
        <w:rPr>
          <w:rFonts w:ascii="Segoe UI" w:eastAsia="Times New Roman" w:hAnsi="Segoe UI" w:cs="Segoe UI"/>
          <w:color w:val="24292F"/>
        </w:rPr>
        <w:lastRenderedPageBreak/>
        <w:t xml:space="preserve">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0F6F28D4" w:rsidR="004B4257" w:rsidRPr="00A0771C"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sectPr w:rsidR="004B4257" w:rsidRPr="00A0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76151"/>
    <w:rsid w:val="000C7558"/>
    <w:rsid w:val="001D6562"/>
    <w:rsid w:val="002079C1"/>
    <w:rsid w:val="00422B7F"/>
    <w:rsid w:val="004B4257"/>
    <w:rsid w:val="005A3DD2"/>
    <w:rsid w:val="00605128"/>
    <w:rsid w:val="00614AB7"/>
    <w:rsid w:val="006C1A46"/>
    <w:rsid w:val="006D7906"/>
    <w:rsid w:val="008411C1"/>
    <w:rsid w:val="008F1523"/>
    <w:rsid w:val="00A0771C"/>
    <w:rsid w:val="00C24964"/>
    <w:rsid w:val="00C569F2"/>
    <w:rsid w:val="00C6444C"/>
    <w:rsid w:val="00D377EF"/>
    <w:rsid w:val="00EB0A70"/>
    <w:rsid w:val="00EC4DCC"/>
    <w:rsid w:val="00F8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16</cp:revision>
  <dcterms:created xsi:type="dcterms:W3CDTF">2022-05-30T06:58:00Z</dcterms:created>
  <dcterms:modified xsi:type="dcterms:W3CDTF">2022-05-30T08:10:00Z</dcterms:modified>
</cp:coreProperties>
</file>