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Варенье для принтеров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 общий рост липкого вдохновения и вклад каждого вкуса.</w:t>
      </w:r>
    </w:p>
    <w:p>
      <w:r>
        <w:rPr>
          <w:b/>
        </w:rPr>
        <w:t xml:space="preserve">Набор данных: </w:t>
      </w:r>
      <w:r>
        <w:t>Расход варенья на принтеры по вкусам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Принтеры отдела фантазий неожиданно отказались печатать без варенья, заявив через замятую бумагу, что чернилам не хватает ягодной уверенности. Эксперимент признан условно успешным: документы пахнут завтраком, но иногда приклеиваются к начальнику.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