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Варенье для принтеров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 общий рост липкого вдохновения и вклад каждого вкуса.</w:t>
      </w:r>
    </w:p>
    <w:p>
      <w:r>
        <w:rPr>
          <w:b/>
        </w:rPr>
        <w:t xml:space="preserve">Набор данных: </w:t>
      </w:r>
      <w:r>
        <w:t>Расход варенья на принтеры по вкусам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Принтеры отдела фантазий неожиданно отказались печатать без варенья, заявив через замятую бумагу, что чернилам не хватает ягодной уверенности. Эксперимент признан условно успешным: документы пахнут завтраком, но иногда приклеиваются к начальнику.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Принтеры требуют варенье</w:t>
      </w:r>
    </w:p>
    <w:p>
      <w:pPr>
        <w:pStyle w:val="ListBullet"/>
      </w:pPr>
      <w:r>
        <w:t>Липкая динамика офисной печати</w:t>
      </w:r>
    </w:p>
    <w:p>
      <w:pPr>
        <w:pStyle w:val="ListBullet"/>
      </w:pPr>
      <w:r>
        <w:t>Шесть недель ягодного расхода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Плоские данные по неделям и вкусам варенья</w:t>
      </w:r>
    </w:p>
    <w:p>
      <w:pPr>
        <w:pStyle w:val="ListBullet"/>
      </w:pPr>
      <w:r>
        <w:t>Учебный набор о нескольких рядах, которые удобно складывать</w:t>
      </w:r>
    </w:p>
    <w:p>
      <w:pPr>
        <w:pStyle w:val="ListBullet"/>
      </w:pPr>
      <w:r>
        <w:t>История о печати документов с ароматом завтрака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недельная ведомость расхода расходных материалов отдела офисной печати,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