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Бюджет экспедиции за смыслом кнопки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 общий бюджет этапов и долю каждой статьи.</w:t>
      </w:r>
    </w:p>
    <w:p>
      <w:r>
        <w:rPr>
          <w:b/>
        </w:rPr>
        <w:t xml:space="preserve">Набор данных: </w:t>
      </w:r>
      <w:r>
        <w:t>Расходы экспедиции по статьям и этапам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Экспедиция отправилась выяснить, зачем на пульте есть кнопка, которую никто не нажимает, но все уважают. Бюджет рос по мере приближения к смыслу, а запасные кнопки закупали на случай, если смысл окажется нажимаемым.</w:t>
      </w:r>
    </w:p>
    <w:p>
      <w:r/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Экспедиция ищет смысл кнопки</w:t>
      </w:r>
    </w:p>
    <w:p>
      <w:pPr>
        <w:pStyle w:val="ListBullet"/>
      </w:pPr>
      <w:r>
        <w:t>Бюджет великого ненажатия</w:t>
      </w:r>
    </w:p>
    <w:p>
      <w:pPr>
        <w:pStyle w:val="ListBullet"/>
      </w:pPr>
      <w:r>
        <w:t>Чай, карты и запасные кнопки по этапам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Плоские данные по этапам и статьям расходов</w:t>
      </w:r>
    </w:p>
    <w:p>
      <w:pPr>
        <w:pStyle w:val="ListBullet"/>
      </w:pPr>
      <w:r>
        <w:t>Учебный набор о структуре бюджета внутри категорий</w:t>
      </w:r>
    </w:p>
    <w:p>
      <w:pPr>
        <w:pStyle w:val="ListBullet"/>
      </w:pPr>
      <w:r>
        <w:t>История о затратах на уважение к неизвестной кнопке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/>
      <w:r>
        <w:t>Источник: проектная смета экспедиции по исследованию функционального смысла кнопки, 2026.</w:t>
      </w:r>
    </w:p>
    <w:p>
      <w:pPr/>
      <w:r/>
    </w:p>
    <w:p>
      <w:pPr/>
      <w:r/>
    </w:p>
    <w:p>
      <w:pPr>
        <w:pStyle w:val="Heading1"/>
      </w:pPr>
      <w:r>
        <w:t>Копирайт</w:t>
      </w:r>
    </w:p>
    <w:p>
      <w:r>
        <w:t>© 2026.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