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Local Effort Cooperative</w:t>
      </w:r>
    </w:p>
    <w:p>
      <w:pPr>
        <w:jc w:val="center"/>
      </w:pPr>
      <w:r>
        <w:rPr>
          <w:b/>
          <w:sz w:val="36"/>
        </w:rPr>
        <w:t>Capital Master Record</w:t>
      </w:r>
    </w:p>
    <w:p>
      <w:pPr>
        <w:jc w:val="center"/>
      </w:pPr>
      <w:r>
        <w:t xml:space="preserve">Version 2.3 — August 14, 2026</w:t>
      </w:r>
    </w:p>
    <w:p>
      <w:pPr>
        <w:jc w:val="center"/>
      </w:pPr>
      <w:r>
        <w:t>Canonical financing record for Wefunder, MCCD, DEED, grants, lenders, investors, and internal capital planning.</w:t>
      </w:r>
    </w:p>
    <w:p>
      <w:r>
        <w:br w:type="page"/>
      </w:r>
    </w:p>
    <w:p>
      <w:pPr>
        <w:pStyle w:val="Heading1"/>
      </w:pPr>
      <w:r>
        <w:t>1. Record Standard</w:t>
      </w:r>
    </w:p>
    <w:p>
      <w:r>
        <w:t>This document is the financing source of truth for Local Effort Cooperative. It separates measured facts, owner policy, modeled outputs, proposed structures, and unresolved diligence.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Status</w:t>
            </w:r>
          </w:p>
        </w:tc>
        <w:tc>
          <w:tcPr>
            <w:tcW w:type="dxa" w:w="5083"/>
            <w:shd w:fill="D9E2F3"/>
          </w:tcPr>
          <w:p>
            <w:r>
              <w:rPr>
                <w:b/>
                <w:sz w:val="17"/>
              </w:rPr>
              <w:t>Meaning</w:t>
            </w:r>
          </w:p>
        </w:tc>
      </w:tr>
      <w:tr>
        <w:tc>
          <w:tcPr>
            <w:tcW w:type="dxa" w:w="5083"/>
            <w:vAlign w:val="center"/>
          </w:tcPr>
          <w:p>
            <w:r>
              <w:rPr>
                <w:sz w:val="17"/>
              </w:rPr>
              <w:t>Confirmed / measured</w:t>
            </w:r>
          </w:p>
        </w:tc>
        <w:tc>
          <w:tcPr>
            <w:tcW w:type="dxa" w:w="5083"/>
            <w:vAlign w:val="center"/>
          </w:tcPr>
          <w:p>
            <w:r>
              <w:rPr>
                <w:sz w:val="17"/>
              </w:rPr>
              <w:t>Supported by accounting records, native systems, contracts, invoices, accepted cap table, or reconciled evidence.</w:t>
            </w:r>
          </w:p>
        </w:tc>
      </w:tr>
      <w:tr>
        <w:tc>
          <w:tcPr>
            <w:tcW w:type="dxa" w:w="5083"/>
            <w:vAlign w:val="center"/>
          </w:tcPr>
          <w:p>
            <w:r>
              <w:rPr>
                <w:sz w:val="17"/>
              </w:rPr>
              <w:t>Owner policy</w:t>
            </w:r>
          </w:p>
        </w:tc>
        <w:tc>
          <w:tcPr>
            <w:tcW w:type="dxa" w:w="5083"/>
            <w:vAlign w:val="center"/>
          </w:tcPr>
          <w:p>
            <w:r>
              <w:rPr>
                <w:sz w:val="17"/>
              </w:rPr>
              <w:t>Current management decision controlling company intent or treatment.</w:t>
            </w:r>
          </w:p>
        </w:tc>
      </w:tr>
      <w:tr>
        <w:tc>
          <w:tcPr>
            <w:tcW w:type="dxa" w:w="5083"/>
            <w:vAlign w:val="center"/>
          </w:tcPr>
          <w:p>
            <w:r>
              <w:rPr>
                <w:sz w:val="17"/>
              </w:rPr>
              <w:t>Owner-reported empirical</w:t>
            </w:r>
          </w:p>
        </w:tc>
        <w:tc>
          <w:tcPr>
            <w:tcW w:type="dxa" w:w="5083"/>
            <w:vAlign w:val="center"/>
          </w:tcPr>
          <w:p>
            <w:r>
              <w:rPr>
                <w:sz w:val="17"/>
              </w:rPr>
              <w:t>Management-reported operating fact to corroborate when material.</w:t>
            </w:r>
          </w:p>
        </w:tc>
      </w:tr>
      <w:tr>
        <w:tc>
          <w:tcPr>
            <w:tcW w:type="dxa" w:w="5083"/>
            <w:vAlign w:val="center"/>
          </w:tcPr>
          <w:p>
            <w:r>
              <w:rPr>
                <w:sz w:val="17"/>
              </w:rPr>
              <w:t>Modeled</w:t>
            </w:r>
          </w:p>
        </w:tc>
        <w:tc>
          <w:tcPr>
            <w:tcW w:type="dxa" w:w="5083"/>
            <w:vAlign w:val="center"/>
          </w:tcPr>
          <w:p>
            <w:r>
              <w:rPr>
                <w:sz w:val="17"/>
              </w:rPr>
              <w:t>Derived from an explicit financial or operating model.</w:t>
            </w:r>
          </w:p>
        </w:tc>
      </w:tr>
      <w:tr>
        <w:tc>
          <w:tcPr>
            <w:tcW w:type="dxa" w:w="5083"/>
            <w:vAlign w:val="center"/>
          </w:tcPr>
          <w:p>
            <w:r>
              <w:rPr>
                <w:sz w:val="17"/>
              </w:rPr>
              <w:t>Proposed</w:t>
            </w:r>
          </w:p>
        </w:tc>
        <w:tc>
          <w:tcPr>
            <w:tcW w:type="dxa" w:w="5083"/>
            <w:vAlign w:val="center"/>
          </w:tcPr>
          <w:p>
            <w:r>
              <w:rPr>
                <w:sz w:val="17"/>
              </w:rPr>
              <w:t>Intended future structure not yet executed.</w:t>
            </w:r>
          </w:p>
        </w:tc>
      </w:tr>
      <w:tr>
        <w:tc>
          <w:tcPr>
            <w:tcW w:type="dxa" w:w="5083"/>
            <w:vAlign w:val="center"/>
          </w:tcPr>
          <w:p>
            <w:r>
              <w:rPr>
                <w:sz w:val="17"/>
              </w:rPr>
              <w:t>Open</w:t>
            </w:r>
          </w:p>
        </w:tc>
        <w:tc>
          <w:tcPr>
            <w:tcW w:type="dxa" w:w="5083"/>
            <w:vAlign w:val="center"/>
          </w:tcPr>
          <w:p>
            <w:r>
              <w:rPr>
                <w:sz w:val="17"/>
              </w:rPr>
              <w:t>Requires reconciliation, documentation, professional review, or final decision.</w:t>
            </w:r>
          </w:p>
        </w:tc>
      </w:tr>
    </w:tbl>
    <w:p/>
    <w:p>
      <w:r>
        <w:t>Evidence hierarchy: Local Budget controls cash amounts and classifications; Square and Company Brain support orders, customers, prices, invoices, and operating relationships; owner-confirmed policy controls intent and definitions; the accepted cap table controls ownership economics.</w:t>
      </w:r>
    </w:p>
    <w:p>
      <w:pPr>
        <w:pStyle w:val="Heading1"/>
      </w:pPr>
      <w:r>
        <w:t>2. Company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Field</w:t>
            </w:r>
          </w:p>
        </w:tc>
        <w:tc>
          <w:tcPr>
            <w:tcW w:type="dxa" w:w="5083"/>
            <w:shd w:fill="D9E2F3"/>
          </w:tcPr>
          <w:p>
            <w:r>
              <w:rPr>
                <w:b/>
                <w:sz w:val="17"/>
              </w:rPr>
              <w:t>Current record</w:t>
            </w:r>
          </w:p>
        </w:tc>
      </w:tr>
      <w:tr>
        <w:tc>
          <w:tcPr>
            <w:tcW w:type="dxa" w:w="5083"/>
            <w:vAlign w:val="center"/>
          </w:tcPr>
          <w:p>
            <w:r>
              <w:rPr>
                <w:sz w:val="17"/>
              </w:rPr>
              <w:t>Legal name</w:t>
            </w:r>
          </w:p>
        </w:tc>
        <w:tc>
          <w:tcPr>
            <w:tcW w:type="dxa" w:w="5083"/>
            <w:vAlign w:val="center"/>
          </w:tcPr>
          <w:p>
            <w:r>
              <w:rPr>
                <w:sz w:val="17"/>
              </w:rPr>
              <w:t>Local Effort Cooperative</w:t>
            </w:r>
          </w:p>
        </w:tc>
      </w:tr>
      <w:tr>
        <w:tc>
          <w:tcPr>
            <w:tcW w:type="dxa" w:w="5083"/>
            <w:vAlign w:val="center"/>
          </w:tcPr>
          <w:p>
            <w:r>
              <w:rPr>
                <w:sz w:val="17"/>
              </w:rPr>
              <w:t>Entity type</w:t>
            </w:r>
          </w:p>
        </w:tc>
        <w:tc>
          <w:tcPr>
            <w:tcW w:type="dxa" w:w="5083"/>
            <w:vAlign w:val="center"/>
          </w:tcPr>
          <w:p>
            <w:r>
              <w:rPr>
                <w:sz w:val="17"/>
              </w:rPr>
              <w:t>Minnesota Chapter 308B cooperative</w:t>
            </w:r>
          </w:p>
        </w:tc>
      </w:tr>
      <w:tr>
        <w:tc>
          <w:tcPr>
            <w:tcW w:type="dxa" w:w="5083"/>
            <w:vAlign w:val="center"/>
          </w:tcPr>
          <w:p>
            <w:r>
              <w:rPr>
                <w:sz w:val="17"/>
              </w:rPr>
              <w:t>Tax treatment</w:t>
            </w:r>
          </w:p>
        </w:tc>
        <w:tc>
          <w:tcPr>
            <w:tcW w:type="dxa" w:w="5083"/>
            <w:vAlign w:val="center"/>
          </w:tcPr>
          <w:p>
            <w:r>
              <w:rPr>
                <w:sz w:val="17"/>
              </w:rPr>
              <w:t>Partnership</w:t>
            </w:r>
          </w:p>
        </w:tc>
      </w:tr>
      <w:tr>
        <w:tc>
          <w:tcPr>
            <w:tcW w:type="dxa" w:w="5083"/>
            <w:vAlign w:val="center"/>
          </w:tcPr>
          <w:p>
            <w:r>
              <w:rPr>
                <w:sz w:val="17"/>
              </w:rPr>
              <w:t>Operating since</w:t>
            </w:r>
          </w:p>
        </w:tc>
        <w:tc>
          <w:tcPr>
            <w:tcW w:type="dxa" w:w="5083"/>
            <w:vAlign w:val="center"/>
          </w:tcPr>
          <w:p>
            <w:r>
              <w:rPr>
                <w:sz w:val="17"/>
              </w:rPr>
              <w:t>2022</w:t>
            </w:r>
          </w:p>
        </w:tc>
      </w:tr>
      <w:tr>
        <w:tc>
          <w:tcPr>
            <w:tcW w:type="dxa" w:w="5083"/>
            <w:vAlign w:val="center"/>
          </w:tcPr>
          <w:p>
            <w:r>
              <w:rPr>
                <w:sz w:val="17"/>
              </w:rPr>
              <w:t>Primary market</w:t>
            </w:r>
          </w:p>
        </w:tc>
        <w:tc>
          <w:tcPr>
            <w:tcW w:type="dxa" w:w="5083"/>
            <w:vAlign w:val="center"/>
          </w:tcPr>
          <w:p>
            <w:r>
              <w:rPr>
                <w:sz w:val="17"/>
              </w:rPr>
              <w:t>Minneapolis–St. Paul / Twin Cities</w:t>
            </w:r>
          </w:p>
        </w:tc>
      </w:tr>
      <w:tr>
        <w:tc>
          <w:tcPr>
            <w:tcW w:type="dxa" w:w="5083"/>
            <w:vAlign w:val="center"/>
          </w:tcPr>
          <w:p>
            <w:r>
              <w:rPr>
                <w:sz w:val="17"/>
              </w:rPr>
              <w:t>Current production base</w:t>
            </w:r>
          </w:p>
        </w:tc>
        <w:tc>
          <w:tcPr>
            <w:tcW w:type="dxa" w:w="5083"/>
            <w:vAlign w:val="center"/>
          </w:tcPr>
          <w:p>
            <w:r>
              <w:rPr>
                <w:sz w:val="17"/>
              </w:rPr>
              <w:t>Hopkins, Minnesota</w:t>
            </w:r>
          </w:p>
        </w:tc>
      </w:tr>
      <w:tr>
        <w:tc>
          <w:tcPr>
            <w:tcW w:type="dxa" w:w="5083"/>
            <w:vAlign w:val="center"/>
          </w:tcPr>
          <w:p>
            <w:r>
              <w:rPr>
                <w:sz w:val="17"/>
              </w:rPr>
              <w:t>Website</w:t>
            </w:r>
          </w:p>
        </w:tc>
        <w:tc>
          <w:tcPr>
            <w:tcW w:type="dxa" w:w="5083"/>
            <w:vAlign w:val="center"/>
          </w:tcPr>
          <w:p>
            <w:r>
              <w:rPr>
                <w:sz w:val="17"/>
              </w:rPr>
              <w:t>localeffortfood.com</w:t>
            </w:r>
          </w:p>
        </w:tc>
      </w:tr>
    </w:tbl>
    <w:p/>
    <w:p>
      <w:r>
        <w:t>Principal operating lines:</w:t>
      </w:r>
    </w:p>
    <w:p>
      <w:pPr>
        <w:pStyle w:val="ListBullet"/>
      </w:pPr>
      <w:r>
        <w:t>Weekly Meal Subscription / meal preparation</w:t>
      </w:r>
    </w:p>
    <w:p>
      <w:pPr>
        <w:pStyle w:val="ListBullet"/>
      </w:pPr>
      <w:r>
        <w:t>Private Dinners &amp; Events</w:t>
      </w:r>
    </w:p>
    <w:p>
      <w:pPr>
        <w:pStyle w:val="ListBullet"/>
      </w:pPr>
      <w:r>
        <w:t>Partner Wholesale</w:t>
      </w:r>
    </w:p>
    <w:p>
      <w:r>
        <w:t>Pizza is a distributed product across these channels rather than a standalone historical line. Frozen direct-to-consumer pizza is an identified growth opportunity, not a base-case underwriting assumption.</w:t>
      </w:r>
    </w:p>
    <w:p>
      <w:pPr>
        <w:pStyle w:val="Heading1"/>
      </w:pPr>
      <w:r>
        <w:t>3. Ownership and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sz w:val="17"/>
              </w:rPr>
              <w:t>Holder</w:t>
            </w:r>
          </w:p>
        </w:tc>
        <w:tc>
          <w:tcPr>
            <w:tcW w:type="dxa" w:w="3389"/>
            <w:shd w:fill="D9E2F3"/>
          </w:tcPr>
          <w:p>
            <w:r>
              <w:rPr>
                <w:b/>
                <w:sz w:val="17"/>
              </w:rPr>
              <w:t>Accepted ownership</w:t>
            </w:r>
          </w:p>
        </w:tc>
        <w:tc>
          <w:tcPr>
            <w:tcW w:type="dxa" w:w="3389"/>
            <w:shd w:fill="D9E2F3"/>
          </w:tcPr>
          <w:p>
            <w:r>
              <w:rPr>
                <w:b/>
                <w:sz w:val="17"/>
              </w:rPr>
              <w:t>Status</w:t>
            </w:r>
          </w:p>
        </w:tc>
      </w:tr>
      <w:tr>
        <w:tc>
          <w:tcPr>
            <w:tcW w:type="dxa" w:w="3389"/>
            <w:vAlign w:val="center"/>
          </w:tcPr>
          <w:p>
            <w:r>
              <w:rPr>
                <w:sz w:val="17"/>
              </w:rPr>
              <w:t>Catherine Olsen</w:t>
            </w:r>
          </w:p>
        </w:tc>
        <w:tc>
          <w:tcPr>
            <w:tcW w:type="dxa" w:w="3389"/>
            <w:vAlign w:val="center"/>
          </w:tcPr>
          <w:p>
            <w:r>
              <w:rPr>
                <w:sz w:val="17"/>
              </w:rPr>
              <w:t xml:space="preserve">56.5%</w:t>
            </w:r>
          </w:p>
        </w:tc>
        <w:tc>
          <w:tcPr>
            <w:tcW w:type="dxa" w:w="3389"/>
            <w:vAlign w:val="center"/>
          </w:tcPr>
          <w:p>
            <w:r>
              <w:rPr>
                <w:sz w:val="17"/>
              </w:rPr>
              <w:t>Accepted</w:t>
            </w:r>
          </w:p>
        </w:tc>
      </w:tr>
      <w:tr>
        <w:tc>
          <w:tcPr>
            <w:tcW w:type="dxa" w:w="3389"/>
            <w:vAlign w:val="center"/>
          </w:tcPr>
          <w:p>
            <w:r>
              <w:rPr>
                <w:sz w:val="17"/>
              </w:rPr>
              <w:t>Weston Smith</w:t>
            </w:r>
          </w:p>
        </w:tc>
        <w:tc>
          <w:tcPr>
            <w:tcW w:type="dxa" w:w="3389"/>
            <w:vAlign w:val="center"/>
          </w:tcPr>
          <w:p>
            <w:r>
              <w:rPr>
                <w:sz w:val="17"/>
              </w:rPr>
              <w:t xml:space="preserve">36.5%</w:t>
            </w:r>
          </w:p>
        </w:tc>
        <w:tc>
          <w:tcPr>
            <w:tcW w:type="dxa" w:w="3389"/>
            <w:vAlign w:val="center"/>
          </w:tcPr>
          <w:p>
            <w:r>
              <w:rPr>
                <w:sz w:val="17"/>
              </w:rPr>
              <w:t>Accepted</w:t>
            </w:r>
          </w:p>
        </w:tc>
      </w:tr>
      <w:tr>
        <w:tc>
          <w:tcPr>
            <w:tcW w:type="dxa" w:w="3389"/>
            <w:vAlign w:val="center"/>
          </w:tcPr>
          <w:p>
            <w:r>
              <w:rPr>
                <w:sz w:val="17"/>
              </w:rPr>
              <w:t>Sarah Olsen</w:t>
            </w:r>
          </w:p>
        </w:tc>
        <w:tc>
          <w:tcPr>
            <w:tcW w:type="dxa" w:w="3389"/>
            <w:vAlign w:val="center"/>
          </w:tcPr>
          <w:p>
            <w:r>
              <w:rPr>
                <w:sz w:val="17"/>
              </w:rPr>
              <w:t>5.0%</w:t>
            </w:r>
          </w:p>
        </w:tc>
        <w:tc>
          <w:tcPr>
            <w:tcW w:type="dxa" w:w="3389"/>
            <w:vAlign w:val="center"/>
          </w:tcPr>
          <w:p>
            <w:r>
              <w:rPr>
                <w:sz w:val="17"/>
              </w:rPr>
              <w:t>Accepted</w:t>
            </w:r>
          </w:p>
        </w:tc>
      </w:tr>
      <w:tr>
        <w:tc>
          <w:tcPr>
            <w:tcW w:type="dxa" w:w="3389"/>
            <w:vAlign w:val="center"/>
          </w:tcPr>
          <w:p>
            <w:r>
              <w:rPr>
                <w:sz w:val="17"/>
              </w:rPr>
              <w:t>Renee Owens</w:t>
            </w:r>
          </w:p>
        </w:tc>
        <w:tc>
          <w:tcPr>
            <w:tcW w:type="dxa" w:w="3389"/>
            <w:vAlign w:val="center"/>
          </w:tcPr>
          <w:p>
            <w:r>
              <w:rPr>
                <w:sz w:val="17"/>
              </w:rPr>
              <w:t>2.0%</w:t>
            </w:r>
          </w:p>
        </w:tc>
        <w:tc>
          <w:tcPr>
            <w:tcW w:type="dxa" w:w="3389"/>
            <w:vAlign w:val="center"/>
          </w:tcPr>
          <w:p>
            <w:r>
              <w:rPr>
                <w:sz w:val="17"/>
              </w:rPr>
              <w:t>Accepted</w:t>
            </w:r>
          </w:p>
        </w:tc>
      </w:tr>
      <w:tr>
        <w:tc>
          <w:tcPr>
            <w:tcW w:type="dxa" w:w="3389"/>
            <w:vAlign w:val="center"/>
          </w:tcPr>
          <w:p>
            <w:r>
              <w:rPr>
                <w:sz w:val="17"/>
              </w:rPr>
              <w:t>Total</w:t>
            </w:r>
          </w:p>
        </w:tc>
        <w:tc>
          <w:tcPr>
            <w:tcW w:type="dxa" w:w="3389"/>
            <w:vAlign w:val="center"/>
          </w:tcPr>
          <w:p>
            <w:r>
              <w:rPr>
                <w:sz w:val="17"/>
              </w:rPr>
              <w:t>100.0%</w:t>
            </w:r>
          </w:p>
        </w:tc>
        <w:tc>
          <w:tcPr>
            <w:tcW w:type="dxa" w:w="3389"/>
            <w:vAlign w:val="center"/>
          </w:tcPr>
          <w:p>
            <w:r>
              <w:rPr>
                <w:sz w:val="17"/>
              </w:rPr>
            </w:r>
          </w:p>
        </w:tc>
      </w:tr>
    </w:tbl>
    <w:p/>
    <w:p>
      <w:r>
        <w:t xml:space="preserve">Renee Owens paid $6,000 for 2%, transferred equally from the founders: 1% from Weston and 1% from Catherine, with $3,000 paid to each. On July 28, 2026, the cofounders rebalanced their holdings through a 10% transfer from Weston to Catherine with no consideration. Maria Beck has been offered an additional 1% from Weston but has not accepted; it is excluded from the accepted cap table.</w:t>
      </w:r>
    </w:p>
    <w:p>
      <w:pPr>
        <w:pStyle w:val="Heading2"/>
      </w:pPr>
      <w:r>
        <w:t>Majority-women ownership</w:t>
      </w:r>
    </w:p>
    <w:p>
      <w:r>
        <w:t xml:space="preserve">The accepted cap table is 63.5% women-held, and Catherine Olsen individually holds 56.5%. The accepted capitalization schedule and documentation of the July 28 founder-to-founder rebalance should accompany applications relying on this qualification.</w:t>
      </w:r>
    </w:p>
    <w:p>
      <w:pPr>
        <w:pStyle w:val="Heading2"/>
      </w:pPr>
      <w:r>
        <w:t>Cooperative capitalization policy</w:t>
      </w:r>
    </w:p>
    <w:p>
      <w:r>
        <w:t>Today, employee equity offers originate from founder holdings. The longer-term policy is to establish a cooperative treasury capable of dispensing equity to future employees and investors. Any exchange of founder equity for settlement of accrued deferred compensation remains proposed and requires supportable pricing, Minnesota 308B and securities counsel review, accountant review, and clear subordination to growth-capital needs.</w:t>
      </w:r>
    </w:p>
    <w:p>
      <w:pPr>
        <w:pStyle w:val="Heading1"/>
      </w:pPr>
      <w:r>
        <w:t>4. Management and Founder Compensation</w:t>
      </w:r>
    </w:p>
    <w:p>
      <w:r>
        <w:t>Weston Smith and Catherine Olsen are founder-operators. Responsibilities span culinary production, sourcing, product development, staffing, operations, sales, administration, and company strategy.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2F3"/>
          </w:tcPr>
          <w:p>
            <w:r>
              <w:rPr>
                <w:b/>
                <w:sz w:val="17"/>
              </w:rPr>
              <w:t>Founder</w:t>
            </w:r>
          </w:p>
        </w:tc>
        <w:tc>
          <w:tcPr>
            <w:tcW w:type="dxa" w:w="2541"/>
            <w:shd w:fill="D9E2F3"/>
          </w:tcPr>
          <w:p>
            <w:r>
              <w:rPr>
                <w:b/>
                <w:sz w:val="17"/>
              </w:rPr>
              <w:t>Annual compensation</w:t>
            </w:r>
          </w:p>
        </w:tc>
        <w:tc>
          <w:tcPr>
            <w:tcW w:type="dxa" w:w="2541"/>
            <w:shd w:fill="D9E2F3"/>
          </w:tcPr>
          <w:p>
            <w:r>
              <w:rPr>
                <w:b/>
                <w:sz w:val="17"/>
              </w:rPr>
              <w:t>Monthly equivalent</w:t>
            </w:r>
          </w:p>
        </w:tc>
        <w:tc>
          <w:tcPr>
            <w:tcW w:type="dxa" w:w="2541"/>
            <w:shd w:fill="D9E2F3"/>
          </w:tcPr>
          <w:p>
            <w:r>
              <w:rPr>
                <w:b/>
                <w:sz w:val="17"/>
              </w:rPr>
              <w:t>Cash status</w:t>
            </w:r>
          </w:p>
        </w:tc>
      </w:tr>
      <w:tr>
        <w:tc>
          <w:tcPr>
            <w:tcW w:type="dxa" w:w="2541"/>
            <w:vAlign w:val="center"/>
          </w:tcPr>
          <w:p>
            <w:r>
              <w:rPr>
                <w:sz w:val="17"/>
              </w:rPr>
              <w:t>Weston Smith</w:t>
            </w:r>
          </w:p>
        </w:tc>
        <w:tc>
          <w:tcPr>
            <w:tcW w:type="dxa" w:w="2541"/>
            <w:vAlign w:val="center"/>
          </w:tcPr>
          <w:p>
            <w:r>
              <w:rPr>
                <w:sz w:val="17"/>
              </w:rPr>
              <w:t>$45,000</w:t>
            </w:r>
          </w:p>
        </w:tc>
        <w:tc>
          <w:tcPr>
            <w:tcW w:type="dxa" w:w="2541"/>
            <w:vAlign w:val="center"/>
          </w:tcPr>
          <w:p>
            <w:r>
              <w:rPr>
                <w:sz w:val="17"/>
              </w:rPr>
              <w:t>$3,750</w:t>
            </w:r>
          </w:p>
        </w:tc>
        <w:tc>
          <w:tcPr>
            <w:tcW w:type="dxa" w:w="2541"/>
            <w:vAlign w:val="center"/>
          </w:tcPr>
          <w:p>
            <w:r>
              <w:rPr>
                <w:sz w:val="17"/>
              </w:rPr>
              <w:t>Deferred / partially offset by qualifying draws</w:t>
            </w:r>
          </w:p>
        </w:tc>
      </w:tr>
      <w:tr>
        <w:tc>
          <w:tcPr>
            <w:tcW w:type="dxa" w:w="2541"/>
            <w:vAlign w:val="center"/>
          </w:tcPr>
          <w:p>
            <w:r>
              <w:rPr>
                <w:sz w:val="17"/>
              </w:rPr>
              <w:t>Catherine Olsen</w:t>
            </w:r>
          </w:p>
        </w:tc>
        <w:tc>
          <w:tcPr>
            <w:tcW w:type="dxa" w:w="2541"/>
            <w:vAlign w:val="center"/>
          </w:tcPr>
          <w:p>
            <w:r>
              <w:rPr>
                <w:sz w:val="17"/>
              </w:rPr>
              <w:t>$45,000</w:t>
            </w:r>
          </w:p>
        </w:tc>
        <w:tc>
          <w:tcPr>
            <w:tcW w:type="dxa" w:w="2541"/>
            <w:vAlign w:val="center"/>
          </w:tcPr>
          <w:p>
            <w:r>
              <w:rPr>
                <w:sz w:val="17"/>
              </w:rPr>
              <w:t>$3,750</w:t>
            </w:r>
          </w:p>
        </w:tc>
        <w:tc>
          <w:tcPr>
            <w:tcW w:type="dxa" w:w="2541"/>
            <w:vAlign w:val="center"/>
          </w:tcPr>
          <w:p>
            <w:r>
              <w:rPr>
                <w:sz w:val="17"/>
              </w:rPr>
              <w:t>Deferred / partially offset by qualifying draws</w:t>
            </w:r>
          </w:p>
        </w:tc>
      </w:tr>
      <w:tr>
        <w:tc>
          <w:tcPr>
            <w:tcW w:type="dxa" w:w="2541"/>
            <w:vAlign w:val="center"/>
          </w:tcPr>
          <w:p>
            <w:r>
              <w:rPr>
                <w:sz w:val="17"/>
              </w:rPr>
              <w:t>Combined</w:t>
            </w:r>
          </w:p>
        </w:tc>
        <w:tc>
          <w:tcPr>
            <w:tcW w:type="dxa" w:w="2541"/>
            <w:vAlign w:val="center"/>
          </w:tcPr>
          <w:p>
            <w:r>
              <w:rPr>
                <w:sz w:val="17"/>
              </w:rPr>
              <w:t>$90,000</w:t>
            </w:r>
          </w:p>
        </w:tc>
        <w:tc>
          <w:tcPr>
            <w:tcW w:type="dxa" w:w="2541"/>
            <w:vAlign w:val="center"/>
          </w:tcPr>
          <w:p>
            <w:r>
              <w:rPr>
                <w:sz w:val="17"/>
              </w:rPr>
              <w:t>$7,500</w:t>
            </w:r>
          </w:p>
        </w:tc>
        <w:tc>
          <w:tcPr>
            <w:tcW w:type="dxa" w:w="2541"/>
            <w:vAlign w:val="center"/>
          </w:tcPr>
          <w:p>
            <w:r>
              <w:rPr>
                <w:sz w:val="17"/>
              </w:rPr>
            </w:r>
          </w:p>
        </w:tc>
      </w:tr>
    </w:tbl>
    <w:p/>
    <w:p>
      <w:r>
        <w:t xml:space="preserve">Owner confirmation dated August 14, 2026 supersedes the July 19 Company Brain policy of $90,000 for Weston and $70,000 for Catherine. The current policy is $45,000 for each founder, effective April 1, 2026 for accrued-compensation purposes.</w:t>
      </w:r>
    </w:p>
    <w:tbl>
      <w:tblPr>
        <w:tblStyle w:val="TableGrid"/>
        <w:tblW w:type="auto" w:w="0"/>
        <w:tblLayout w:type="fixed"/>
        <w:tblLook w:firstColumn="1" w:firstRow="1" w:lastColumn="0" w:lastRow="0" w:noHBand="0" w:noVBand="1" w:val="04A0"/>
      </w:tblPr>
      <w:tblGrid>
        <w:gridCol w:w="6768"/>
        <w:gridCol w:w="3024"/>
      </w:tblGrid>
      <w:tr>
        <w:tc>
          <w:tcPr>
            <w:tcW w:type="dxa" w:w="5083"/>
          </w:tcPr>
          <w:p>
            <w:r>
              <w:t>Founder deferred-compensation metric</w:t>
            </w:r>
          </w:p>
        </w:tc>
        <w:tc>
          <w:tcPr>
            <w:tcW w:type="dxa" w:w="5083"/>
          </w:tcPr>
          <w:p>
            <w:r>
              <w:t>Amount</w:t>
            </w:r>
          </w:p>
        </w:tc>
      </w:tr>
      <w:tr>
        <w:tc>
          <w:tcPr>
            <w:tcW w:type="dxa" w:w="6768"/>
          </w:tcPr>
          <w:p>
            <w:r>
              <w:t>Gross combined accrual, Apr. 1–Jul. 31, 2026</w:t>
            </w:r>
          </w:p>
        </w:tc>
        <w:tc>
          <w:tcPr>
            <w:tcW w:type="dxa" w:w="3024"/>
          </w:tcPr>
          <w:p>
            <w:r>
              <w:t>$30,000</w:t>
            </w:r>
          </w:p>
        </w:tc>
      </w:tr>
      <w:tr>
        <w:tc>
          <w:tcPr>
            <w:tcW w:type="dxa" w:w="6768"/>
          </w:tcPr>
          <w:p>
            <w:r>
              <w:t xml:space="preserve">Local Budget PERSONAL candidate offsets, Apr. 1–Jul. 31</w:t>
            </w:r>
          </w:p>
        </w:tc>
        <w:tc>
          <w:tcPr>
            <w:tcW w:type="dxa" w:w="3024"/>
          </w:tcPr>
          <w:p>
            <w:r>
              <w:t xml:space="preserve">$8,755.64</w:t>
            </w:r>
          </w:p>
        </w:tc>
      </w:tr>
      <w:tr>
        <w:tc>
          <w:tcPr>
            <w:tcW w:type="dxa" w:w="6768"/>
          </w:tcPr>
          <w:p>
            <w:r>
              <w:t xml:space="preserve">Provisional net accrual through Jul. 31, subject to owner/accountant review</w:t>
            </w:r>
          </w:p>
        </w:tc>
        <w:tc>
          <w:tcPr>
            <w:tcW w:type="dxa" w:w="3024"/>
          </w:tcPr>
          <w:p>
            <w:r>
              <w:t xml:space="preserve">$21,244.36</w:t>
            </w:r>
          </w:p>
        </w:tc>
      </w:tr>
      <w:tr>
        <w:tc>
          <w:tcPr>
            <w:tcW w:type="dxa" w:w="6768"/>
          </w:tcPr>
          <w:p>
            <w:r>
              <w:t>Gross combined accrual through Aug. 31, if August fully accrues</w:t>
            </w:r>
          </w:p>
        </w:tc>
        <w:tc>
          <w:tcPr>
            <w:tcW w:type="dxa" w:w="3024"/>
          </w:tcPr>
          <w:p>
            <w:r>
              <w:t>$37,500</w:t>
            </w:r>
          </w:p>
        </w:tc>
      </w:tr>
      <w:tr>
        <w:tc>
          <w:tcPr>
            <w:tcW w:type="dxa" w:w="6768"/>
          </w:tcPr>
          <w:p>
            <w:r>
              <w:t xml:space="preserve">Projected net accrual through Aug. 31 using PERSONAL posted through Aug. 13</w:t>
            </w:r>
          </w:p>
        </w:tc>
        <w:tc>
          <w:tcPr>
            <w:tcW w:type="dxa" w:w="3024"/>
          </w:tcPr>
          <w:p>
            <w:r>
              <w:t xml:space="preserve">$28,627.15</w:t>
            </w:r>
          </w:p>
        </w:tc>
      </w:tr>
    </w:tbl>
    <w:p/>
    <w:p>
      <w:r>
        <w:rPr>
          <w:sz w:val="19"/>
        </w:rPr>
        <w:t xml:space="preserve">Local Budget contains $8,755.64 of PERSONAL transactions from April 1 through July 31 and $8,872.85 through August 13. These are candidate founder-compensation offsets pending owner review and accountant treatment. The prior $8,895 figure appears to have been an August-to-date recollection; it is $22.15 above the posted Local Budget total through August 13 and remains unresolved rather than being forced into the ledger. Against the $30,000 gross accrual through July 31, the provisional net accrual is $21,244.36. If August fully accrues, the provisional net through August 31 is $28,627.15 using postings through August 13, before later August offsets.</w:t>
      </w:r>
    </w:p>
    <w:p>
      <w:pPr>
        <w:pStyle w:val="Heading1"/>
      </w:pPr>
      <w:r>
        <w:t>5. Employees and Current Labor</w:t>
      </w:r>
    </w:p>
    <w:p>
      <w:r>
        <w:t>Maria Beck is an active chef paid through Square Payroll at $35/hour. The current planning level is approximately 15 hours/week.</w:t>
      </w:r>
    </w:p>
    <w:p>
      <w:pPr>
        <w:pStyle w:val="ListBullet"/>
      </w:pPr>
      <w:r>
        <w:t>Junior production worker contemplated: approximately 15 hours/week at $25/hour.</w:t>
      </w:r>
    </w:p>
    <w:p>
      <w:pPr>
        <w:pStyle w:val="ListBullet"/>
      </w:pPr>
      <w:r>
        <w:t>Second chef contemplated: approximately 15 hours/week at $35/hour.</w:t>
      </w:r>
    </w:p>
    <w:p>
      <w:pPr>
        <w:pStyle w:val="ListBullet"/>
      </w:pPr>
      <w:r>
        <w:t>Sales compensation should be structured so recurring commission does not make the 35% labor target mathematically impossible.</w:t>
      </w:r>
    </w:p>
    <w:p>
      <w:r>
        <w:t>Hiring should be staged against revenue and production milestones.</w:t>
      </w:r>
    </w:p>
    <w:p>
      <w:pPr>
        <w:pStyle w:val="Heading1"/>
      </w:pPr>
      <w:r>
        <w:t>6. Financial Evidence Framework</w:t>
      </w:r>
    </w:p>
    <w:p>
      <w:r>
        <w:t>Local Budget is the accounting source of truth for transactions, cash classification, Square-payment data, and P&amp;L. Company Brain consumes this evidence but does not supersede Local Budget for cash actuals.</w:t>
      </w:r>
    </w:p>
    <w:p>
      <w:r>
        <w:t>August 2026 accounting cleanup corrected material classification errors, including Square Payroll labor that had previously fallen through as PERSONAL. Current lender-style monthly financial exports exist in Local Budget, but generated exports are not committed to the repository and must be run against the current database for a fresh statement.</w:t>
      </w:r>
    </w:p>
    <w:p>
      <w:pPr>
        <w:pStyle w:val="Heading1"/>
      </w:pPr>
      <w:r>
        <w:t>7. Historical Financial Performance and Revenue Reconciliation</w:t>
      </w:r>
    </w:p>
    <w:p>
      <w:r>
        <w:t>The unsupported $5,000/month revenue figure is removed from the master record. No current accounting or Brain source supports 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sz w:val="17"/>
              </w:rPr>
              <w:t>Measure</w:t>
            </w:r>
          </w:p>
        </w:tc>
        <w:tc>
          <w:tcPr>
            <w:tcW w:type="dxa" w:w="3389"/>
            <w:shd w:fill="D9E2F3"/>
          </w:tcPr>
          <w:p>
            <w:r>
              <w:rPr>
                <w:b/>
                <w:sz w:val="17"/>
              </w:rPr>
              <w:t>Amount</w:t>
            </w:r>
          </w:p>
        </w:tc>
        <w:tc>
          <w:tcPr>
            <w:tcW w:type="dxa" w:w="3389"/>
            <w:shd w:fill="D9E2F3"/>
          </w:tcPr>
          <w:p>
            <w:r>
              <w:rPr>
                <w:b/>
                <w:sz w:val="17"/>
              </w:rPr>
              <w:t>Treatment</w:t>
            </w:r>
          </w:p>
        </w:tc>
      </w:tr>
      <w:tr>
        <w:tc>
          <w:tcPr>
            <w:tcW w:type="dxa" w:w="3389"/>
            <w:vAlign w:val="center"/>
          </w:tcPr>
          <w:p>
            <w:r>
              <w:rPr>
                <w:sz w:val="17"/>
              </w:rPr>
              <w:t>Jan–Jun 2026 average operating revenue</w:t>
            </w:r>
          </w:p>
        </w:tc>
        <w:tc>
          <w:tcPr>
            <w:tcW w:type="dxa" w:w="3389"/>
            <w:vAlign w:val="center"/>
          </w:tcPr>
          <w:p>
            <w:r>
              <w:rPr>
                <w:sz w:val="17"/>
              </w:rPr>
              <w:t xml:space="preserve">$9,008.50/month</w:t>
            </w:r>
          </w:p>
        </w:tc>
        <w:tc>
          <w:tcPr>
            <w:tcW w:type="dxa" w:w="3389"/>
            <w:vAlign w:val="center"/>
          </w:tcPr>
          <w:p>
            <w:r>
              <w:rPr>
                <w:sz w:val="17"/>
              </w:rPr>
              <w:t>Local Budget-derived; financing/investment inflows excluded</w:t>
            </w:r>
          </w:p>
        </w:tc>
      </w:tr>
      <w:tr>
        <w:tc>
          <w:tcPr>
            <w:tcW w:type="dxa" w:w="3389"/>
            <w:vAlign w:val="center"/>
          </w:tcPr>
          <w:p>
            <w:r>
              <w:rPr>
                <w:sz w:val="17"/>
              </w:rPr>
              <w:t>Approx. Jan–Jun operating revenue</w:t>
            </w:r>
          </w:p>
        </w:tc>
        <w:tc>
          <w:tcPr>
            <w:tcW w:type="dxa" w:w="3389"/>
            <w:vAlign w:val="center"/>
          </w:tcPr>
          <w:p>
            <w:r>
              <w:rPr>
                <w:sz w:val="17"/>
              </w:rPr>
              <w:t xml:space="preserve">$54,051.00</w:t>
            </w:r>
          </w:p>
        </w:tc>
        <w:tc>
          <w:tcPr>
            <w:tcW w:type="dxa" w:w="3389"/>
            <w:vAlign w:val="center"/>
          </w:tcPr>
          <w:p>
            <w:r>
              <w:rPr>
                <w:sz w:val="17"/>
              </w:rPr>
              <w:t>Six-month arithmetic from monthly average</w:t>
            </w:r>
          </w:p>
        </w:tc>
      </w:tr>
      <w:tr>
        <w:tc>
          <w:tcPr>
            <w:tcW w:type="dxa" w:w="3389"/>
            <w:vAlign w:val="center"/>
          </w:tcPr>
          <w:p>
            <w:r>
              <w:rPr>
                <w:sz w:val="17"/>
              </w:rPr>
              <w:t>Q2 2026 operating revenue run rate</w:t>
            </w:r>
          </w:p>
        </w:tc>
        <w:tc>
          <w:tcPr>
            <w:tcW w:type="dxa" w:w="3389"/>
            <w:vAlign w:val="center"/>
          </w:tcPr>
          <w:p>
            <w:r>
              <w:rPr>
                <w:sz w:val="17"/>
              </w:rPr>
              <w:t xml:space="preserve">$9,748.56/month</w:t>
            </w:r>
          </w:p>
        </w:tc>
        <w:tc>
          <w:tcPr>
            <w:tcW w:type="dxa" w:w="3389"/>
            <w:vAlign w:val="center"/>
          </w:tcPr>
          <w:p>
            <w:r>
              <w:rPr>
                <w:sz w:val="17"/>
              </w:rPr>
              <w:t>Latest complete quantified run rate preserved in economist evidence</w:t>
            </w:r>
          </w:p>
        </w:tc>
      </w:tr>
      <w:tr>
        <w:tc>
          <w:tcPr>
            <w:tcW w:type="dxa" w:w="3389"/>
            <w:vAlign w:val="center"/>
          </w:tcPr>
          <w:p>
            <w:r>
              <w:rPr>
                <w:sz w:val="17"/>
              </w:rPr>
              <w:t>Q2 annualized run rate</w:t>
            </w:r>
          </w:p>
        </w:tc>
        <w:tc>
          <w:tcPr>
            <w:tcW w:type="dxa" w:w="3389"/>
            <w:vAlign w:val="center"/>
          </w:tcPr>
          <w:p>
            <w:r>
              <w:rPr>
                <w:sz w:val="17"/>
              </w:rPr>
              <w:t xml:space="preserve">$116,982.72/year</w:t>
            </w:r>
          </w:p>
        </w:tc>
        <w:tc>
          <w:tcPr>
            <w:tcW w:type="dxa" w:w="3389"/>
            <w:vAlign w:val="center"/>
          </w:tcPr>
          <w:p>
            <w:r>
              <w:rPr>
                <w:sz w:val="17"/>
              </w:rPr>
              <w:t>Run-rate arithmetic only; not calendar-year actual revenue</w:t>
            </w:r>
          </w:p>
        </w:tc>
      </w:tr>
    </w:tbl>
    <w:p/>
    <w:p>
      <w:r>
        <w:t>The earlier unsupported claims of approximately $120,000 annual gross revenue and approximately 20% EBITDA remain retired.</w:t>
      </w:r>
    </w:p>
    <w:p>
      <w:pPr>
        <w:pStyle w:val="Heading2"/>
      </w:pPr>
      <w:r>
        <w:t>Current-period reconciliation status</w:t>
      </w:r>
    </w:p>
    <w:p>
      <w:r>
        <w:t xml:space="preserve">Current Local Budget records through August 13 include a complete July. July 2026 operating revenue was $13,211.14. August remains incomplete as of this record date and should not be annualized from partial-month activity.</w:t>
      </w:r>
    </w:p>
    <w:p>
      <w:r>
        <w:t xml:space="preserve">Use: During the first half of 2026, Local Effort recorded $54,051.00 of operating revenue, averaging $9,008.50 per month, with Q2 averaging $9,748.56 per month. July operating revenue was $13,211.14.</w:t>
      </w:r>
    </w:p>
    <w:p>
      <w:pPr>
        <w:pStyle w:val="Heading2"/>
      </w:pPr>
      <w:r>
        <w:t>Food cost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Measure</w:t>
            </w:r>
          </w:p>
        </w:tc>
        <w:tc>
          <w:tcPr>
            <w:tcW w:type="dxa" w:w="5083"/>
            <w:shd w:fill="D9E2F3"/>
          </w:tcPr>
          <w:p>
            <w:r>
              <w:rPr>
                <w:b/>
                <w:sz w:val="17"/>
              </w:rPr>
              <w:t>Current treatment</w:t>
            </w:r>
          </w:p>
        </w:tc>
      </w:tr>
      <w:tr>
        <w:tc>
          <w:tcPr>
            <w:tcW w:type="dxa" w:w="5083"/>
            <w:vAlign w:val="center"/>
          </w:tcPr>
          <w:p>
            <w:r>
              <w:rPr>
                <w:sz w:val="17"/>
              </w:rPr>
              <w:t>Owner-measured operating food cost</w:t>
            </w:r>
          </w:p>
        </w:tc>
        <w:tc>
          <w:tcPr>
            <w:tcW w:type="dxa" w:w="5083"/>
            <w:vAlign w:val="center"/>
          </w:tcPr>
          <w:p>
            <w:r>
              <w:rPr>
                <w:sz w:val="17"/>
              </w:rPr>
              <w:t>Approximately 25–28%</w:t>
            </w:r>
          </w:p>
        </w:tc>
      </w:tr>
      <w:tr>
        <w:tc>
          <w:tcPr>
            <w:tcW w:type="dxa" w:w="5083"/>
            <w:vAlign w:val="center"/>
          </w:tcPr>
          <w:p>
            <w:r>
              <w:rPr>
                <w:sz w:val="17"/>
              </w:rPr>
              <w:t>Forward planning assumption</w:t>
            </w:r>
          </w:p>
        </w:tc>
        <w:tc>
          <w:tcPr>
            <w:tcW w:type="dxa" w:w="5083"/>
            <w:vAlign w:val="center"/>
          </w:tcPr>
          <w:p>
            <w:r>
              <w:rPr>
                <w:sz w:val="17"/>
              </w:rPr>
              <w:t>Approximately 27%</w:t>
            </w:r>
          </w:p>
        </w:tc>
      </w:tr>
      <w:tr>
        <w:tc>
          <w:tcPr>
            <w:tcW w:type="dxa" w:w="5083"/>
            <w:vAlign w:val="center"/>
          </w:tcPr>
          <w:p>
            <w:r>
              <w:rPr>
                <w:sz w:val="17"/>
              </w:rPr>
              <w:t>July measured food cost in existing evidence</w:t>
            </w:r>
          </w:p>
        </w:tc>
        <w:tc>
          <w:tcPr>
            <w:tcW w:type="dxa" w:w="5083"/>
            <w:vAlign w:val="center"/>
          </w:tcPr>
          <w:p>
            <w:r>
              <w:rPr>
                <w:sz w:val="17"/>
              </w:rPr>
              <w:t xml:space="preserve">27.7%</w:t>
            </w:r>
          </w:p>
        </w:tc>
      </w:tr>
      <w:tr>
        <w:tc>
          <w:tcPr>
            <w:tcW w:type="dxa" w:w="5083"/>
            <w:vAlign w:val="center"/>
          </w:tcPr>
          <w:p>
            <w:r>
              <w:rPr>
                <w:sz w:val="17"/>
              </w:rPr>
              <w:t>Historical cash inventory purchase ratio</w:t>
            </w:r>
          </w:p>
        </w:tc>
        <w:tc>
          <w:tcPr>
            <w:tcW w:type="dxa" w:w="5083"/>
            <w:vAlign w:val="center"/>
          </w:tcPr>
          <w:p>
            <w:r>
              <w:rPr>
                <w:sz w:val="17"/>
              </w:rPr>
              <w:t>Do not use as consumed COGS</w:t>
            </w:r>
          </w:p>
        </w:tc>
      </w:tr>
    </w:tbl>
    <w:p/>
    <w:p>
      <w:pPr>
        <w:pStyle w:val="Heading1"/>
      </w:pPr>
      <w:r>
        <w:t>8. Production Facility — Hopkins</w:t>
      </w:r>
    </w:p>
    <w:p>
      <w:r>
        <w:t>Local Effort has moved production to Hopkins. The prior Neon/Food Corridor hourly structure is superseded for current modeling.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Current facility input</w:t>
            </w:r>
          </w:p>
        </w:tc>
        <w:tc>
          <w:tcPr>
            <w:tcW w:type="dxa" w:w="5083"/>
            <w:shd w:fill="D9E2F3"/>
          </w:tcPr>
          <w:p>
            <w:r>
              <w:rPr>
                <w:b/>
                <w:sz w:val="17"/>
              </w:rPr>
              <w:t>Amount</w:t>
            </w:r>
          </w:p>
        </w:tc>
      </w:tr>
      <w:tr>
        <w:tc>
          <w:tcPr>
            <w:tcW w:type="dxa" w:w="5083"/>
            <w:vAlign w:val="center"/>
          </w:tcPr>
          <w:p>
            <w:r>
              <w:rPr>
                <w:sz w:val="17"/>
              </w:rPr>
              <w:t>Kitchen rental rate</w:t>
            </w:r>
          </w:p>
        </w:tc>
        <w:tc>
          <w:tcPr>
            <w:tcW w:type="dxa" w:w="5083"/>
            <w:vAlign w:val="center"/>
          </w:tcPr>
          <w:p>
            <w:r>
              <w:rPr>
                <w:sz w:val="17"/>
              </w:rPr>
              <w:t>$25/hour</w:t>
            </w:r>
          </w:p>
        </w:tc>
      </w:tr>
      <w:tr>
        <w:tc>
          <w:tcPr>
            <w:tcW w:type="dxa" w:w="5083"/>
            <w:vAlign w:val="center"/>
          </w:tcPr>
          <w:p>
            <w:r>
              <w:rPr>
                <w:sz w:val="17"/>
              </w:rPr>
              <w:t>Typical monthly usage</w:t>
            </w:r>
          </w:p>
        </w:tc>
        <w:tc>
          <w:tcPr>
            <w:tcW w:type="dxa" w:w="5083"/>
            <w:vAlign w:val="center"/>
          </w:tcPr>
          <w:p>
            <w:r>
              <w:rPr>
                <w:sz w:val="17"/>
              </w:rPr>
              <w:t>80–100 hours</w:t>
            </w:r>
          </w:p>
        </w:tc>
      </w:tr>
      <w:tr>
        <w:tc>
          <w:tcPr>
            <w:tcW w:type="dxa" w:w="5083"/>
            <w:vAlign w:val="center"/>
          </w:tcPr>
          <w:p>
            <w:r>
              <w:rPr>
                <w:sz w:val="17"/>
              </w:rPr>
              <w:t>Implied monthly kitchen expense</w:t>
            </w:r>
          </w:p>
        </w:tc>
        <w:tc>
          <w:tcPr>
            <w:tcW w:type="dxa" w:w="5083"/>
            <w:vAlign w:val="center"/>
          </w:tcPr>
          <w:p>
            <w:r>
              <w:rPr>
                <w:sz w:val="17"/>
              </w:rPr>
              <w:t xml:space="preserve">$2,350–$2,850</w:t>
            </w:r>
          </w:p>
        </w:tc>
      </w:tr>
      <w:tr>
        <w:tc>
          <w:tcPr>
            <w:tcW w:type="dxa" w:w="5083"/>
            <w:vAlign w:val="center"/>
          </w:tcPr>
          <w:p>
            <w:r>
              <w:rPr>
                <w:sz w:val="17"/>
              </w:rPr>
              <w:t>Implied annualized kitchen expense</w:t>
            </w:r>
          </w:p>
        </w:tc>
        <w:tc>
          <w:tcPr>
            <w:tcW w:type="dxa" w:w="5083"/>
            <w:vAlign w:val="center"/>
          </w:tcPr>
          <w:p>
            <w:r>
              <w:rPr>
                <w:sz w:val="17"/>
              </w:rPr>
              <w:t xml:space="preserve">$28,200–$34,200</w:t>
            </w:r>
          </w:p>
        </w:tc>
      </w:tr>
    </w:tbl>
    <w:p/>
    <w:p>
      <w:r>
        <w:t xml:space="preserve">Effective August 1, 2026, the Hopkins arrangement is $25/hour plus $150/month in fees and $200/month in storage. At 80–100 monthly hours, total modeled facility cash cost is $2,350–$2,850/month. The superseded terms of $40/hour for the first 20 hours, $35/hour thereafter, plus $200 storage would have implied approximately $3,100–$3,800/month. The Hopkins move therefore improves modeled facility cash economics by approximately $750–$950/month, or $9,000–$11,400/year, at the same usage.</w:t>
      </w:r>
    </w:p>
    <w:p>
      <w:r>
        <w:t xml:space="preserve">The $25 hourly rate, $150 monthly fees, $200 monthly storage, and 80–100 hour usage range are owner-confirmed current operating inputs effective August 1 and replace the prior tiered kitchen assumption.</w:t>
      </w:r>
    </w:p>
    <w:p>
      <w:pPr>
        <w:pStyle w:val="Heading1"/>
      </w:pPr>
      <w:r>
        <w:t>9. Revenue Line 1 — Weekly Meal Subscription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Pricing framework</w:t>
            </w:r>
          </w:p>
        </w:tc>
        <w:tc>
          <w:tcPr>
            <w:tcW w:type="dxa" w:w="5083"/>
            <w:shd w:fill="D9E2F3"/>
          </w:tcPr>
          <w:p>
            <w:r>
              <w:rPr>
                <w:b/>
                <w:sz w:val="17"/>
              </w:rPr>
              <w:t>Price</w:t>
            </w:r>
          </w:p>
        </w:tc>
      </w:tr>
      <w:tr>
        <w:tc>
          <w:tcPr>
            <w:tcW w:type="dxa" w:w="5083"/>
            <w:vAlign w:val="center"/>
          </w:tcPr>
          <w:p>
            <w:r>
              <w:rPr>
                <w:sz w:val="17"/>
              </w:rPr>
              <w:t>Dinner — family rate, 3+ adults</w:t>
            </w:r>
          </w:p>
        </w:tc>
        <w:tc>
          <w:tcPr>
            <w:tcW w:type="dxa" w:w="5083"/>
            <w:vAlign w:val="center"/>
          </w:tcPr>
          <w:p>
            <w:r>
              <w:rPr>
                <w:sz w:val="17"/>
              </w:rPr>
              <w:t>$18/adult</w:t>
            </w:r>
          </w:p>
        </w:tc>
      </w:tr>
      <w:tr>
        <w:tc>
          <w:tcPr>
            <w:tcW w:type="dxa" w:w="5083"/>
            <w:vAlign w:val="center"/>
          </w:tcPr>
          <w:p>
            <w:r>
              <w:rPr>
                <w:sz w:val="17"/>
              </w:rPr>
              <w:t>Dinner — solo</w:t>
            </w:r>
          </w:p>
        </w:tc>
        <w:tc>
          <w:tcPr>
            <w:tcW w:type="dxa" w:w="5083"/>
            <w:vAlign w:val="center"/>
          </w:tcPr>
          <w:p>
            <w:r>
              <w:rPr>
                <w:sz w:val="17"/>
              </w:rPr>
              <w:t>$24</w:t>
            </w:r>
          </w:p>
        </w:tc>
      </w:tr>
      <w:tr>
        <w:tc>
          <w:tcPr>
            <w:tcW w:type="dxa" w:w="5083"/>
            <w:vAlign w:val="center"/>
          </w:tcPr>
          <w:p>
            <w:r>
              <w:rPr>
                <w:sz w:val="17"/>
              </w:rPr>
              <w:t>Dinner — family of two</w:t>
            </w:r>
          </w:p>
        </w:tc>
        <w:tc>
          <w:tcPr>
            <w:tcW w:type="dxa" w:w="5083"/>
            <w:vAlign w:val="center"/>
          </w:tcPr>
          <w:p>
            <w:r>
              <w:rPr>
                <w:sz w:val="17"/>
              </w:rPr>
              <w:t>$45</w:t>
            </w:r>
          </w:p>
        </w:tc>
      </w:tr>
      <w:tr>
        <w:tc>
          <w:tcPr>
            <w:tcW w:type="dxa" w:w="5083"/>
            <w:vAlign w:val="center"/>
          </w:tcPr>
          <w:p>
            <w:r>
              <w:rPr>
                <w:sz w:val="17"/>
              </w:rPr>
              <w:t>Breakfast</w:t>
            </w:r>
          </w:p>
        </w:tc>
        <w:tc>
          <w:tcPr>
            <w:tcW w:type="dxa" w:w="5083"/>
            <w:vAlign w:val="center"/>
          </w:tcPr>
          <w:p>
            <w:r>
              <w:rPr>
                <w:sz w:val="17"/>
              </w:rPr>
              <w:t>$13.50/person</w:t>
            </w:r>
          </w:p>
        </w:tc>
      </w:tr>
      <w:tr>
        <w:tc>
          <w:tcPr>
            <w:tcW w:type="dxa" w:w="5083"/>
            <w:vAlign w:val="center"/>
          </w:tcPr>
          <w:p>
            <w:r>
              <w:rPr>
                <w:sz w:val="17"/>
              </w:rPr>
              <w:t>Lunch</w:t>
            </w:r>
          </w:p>
        </w:tc>
        <w:tc>
          <w:tcPr>
            <w:tcW w:type="dxa" w:w="5083"/>
            <w:vAlign w:val="center"/>
          </w:tcPr>
          <w:p>
            <w:r>
              <w:rPr>
                <w:sz w:val="17"/>
              </w:rPr>
              <w:t>$18/person</w:t>
            </w:r>
          </w:p>
        </w:tc>
      </w:tr>
      <w:tr>
        <w:tc>
          <w:tcPr>
            <w:tcW w:type="dxa" w:w="5083"/>
            <w:vAlign w:val="center"/>
          </w:tcPr>
          <w:p>
            <w:r>
              <w:rPr>
                <w:sz w:val="17"/>
              </w:rPr>
              <w:t>Weekly delivery</w:t>
            </w:r>
          </w:p>
        </w:tc>
        <w:tc>
          <w:tcPr>
            <w:tcW w:type="dxa" w:w="5083"/>
            <w:vAlign w:val="center"/>
          </w:tcPr>
          <w:p>
            <w:r>
              <w:rPr>
                <w:sz w:val="17"/>
              </w:rPr>
              <w:t>$10</w:t>
            </w:r>
          </w:p>
        </w:tc>
      </w:tr>
    </w:tbl>
    <w:p/>
    <w:p>
      <w:r>
        <w:t>A June 2026 meal-prep record included a quoted $65 family dinner, $195–$260/week for 3–4 dinners, and a matched $205 Square payment. Exact order-level contribution still requires consistent labor, ingredient, packaging, and delivery joins.</w:t>
      </w:r>
    </w:p>
    <w:p>
      <w:pPr>
        <w:pStyle w:val="Heading1"/>
      </w:pPr>
      <w:r>
        <w:t>10. Revenue Line 2 — Private Dinners &amp; Events</w:t>
      </w:r>
    </w:p>
    <w:p>
      <w:r>
        <w:t>Owner-reported operating price range is approximately $35/person for simple delivered buffet service to approximately $150/person for plated multi-course service. Events should be job-costed because service intensity and client-supplied components vary materially.</w:t>
      </w:r>
    </w:p>
    <w:p>
      <w:pPr>
        <w:pStyle w:val="Heading1"/>
      </w:pPr>
      <w:r>
        <w:t>11. Revenue Line 3 — Partner Wholesale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Observed Happy Monday item</w:t>
            </w:r>
          </w:p>
        </w:tc>
        <w:tc>
          <w:tcPr>
            <w:tcW w:type="dxa" w:w="5083"/>
            <w:shd w:fill="D9E2F3"/>
          </w:tcPr>
          <w:p>
            <w:r>
              <w:rPr>
                <w:b/>
                <w:sz w:val="17"/>
              </w:rPr>
              <w:t>Observed wholesale price</w:t>
            </w:r>
          </w:p>
        </w:tc>
      </w:tr>
      <w:tr>
        <w:tc>
          <w:tcPr>
            <w:tcW w:type="dxa" w:w="5083"/>
            <w:vAlign w:val="center"/>
          </w:tcPr>
          <w:p>
            <w:r>
              <w:rPr>
                <w:sz w:val="17"/>
              </w:rPr>
              <w:t>Egg salad sandwich</w:t>
            </w:r>
          </w:p>
        </w:tc>
        <w:tc>
          <w:tcPr>
            <w:tcW w:type="dxa" w:w="5083"/>
            <w:vAlign w:val="center"/>
          </w:tcPr>
          <w:p>
            <w:r>
              <w:rPr>
                <w:sz w:val="17"/>
              </w:rPr>
              <w:t>$5.10</w:t>
            </w:r>
          </w:p>
        </w:tc>
      </w:tr>
      <w:tr>
        <w:tc>
          <w:tcPr>
            <w:tcW w:type="dxa" w:w="5083"/>
            <w:vAlign w:val="center"/>
          </w:tcPr>
          <w:p>
            <w:r>
              <w:rPr>
                <w:sz w:val="17"/>
              </w:rPr>
              <w:t>Turkey sandwich</w:t>
            </w:r>
          </w:p>
        </w:tc>
        <w:tc>
          <w:tcPr>
            <w:tcW w:type="dxa" w:w="5083"/>
            <w:vAlign w:val="center"/>
          </w:tcPr>
          <w:p>
            <w:r>
              <w:rPr>
                <w:sz w:val="17"/>
              </w:rPr>
              <w:t>$6.10</w:t>
            </w:r>
          </w:p>
        </w:tc>
      </w:tr>
      <w:tr>
        <w:tc>
          <w:tcPr>
            <w:tcW w:type="dxa" w:w="5083"/>
            <w:vAlign w:val="center"/>
          </w:tcPr>
          <w:p>
            <w:r>
              <w:rPr>
                <w:sz w:val="17"/>
              </w:rPr>
              <w:t>Yogurt + granola</w:t>
            </w:r>
          </w:p>
        </w:tc>
        <w:tc>
          <w:tcPr>
            <w:tcW w:type="dxa" w:w="5083"/>
            <w:vAlign w:val="center"/>
          </w:tcPr>
          <w:p>
            <w:r>
              <w:rPr>
                <w:sz w:val="17"/>
              </w:rPr>
              <w:t>$3.85</w:t>
            </w:r>
          </w:p>
        </w:tc>
      </w:tr>
      <w:tr>
        <w:tc>
          <w:tcPr>
            <w:tcW w:type="dxa" w:w="5083"/>
            <w:vAlign w:val="center"/>
          </w:tcPr>
          <w:p>
            <w:r>
              <w:rPr>
                <w:sz w:val="17"/>
              </w:rPr>
              <w:t>4-inch pizza</w:t>
            </w:r>
          </w:p>
        </w:tc>
        <w:tc>
          <w:tcPr>
            <w:tcW w:type="dxa" w:w="5083"/>
            <w:vAlign w:val="center"/>
          </w:tcPr>
          <w:p>
            <w:r>
              <w:rPr>
                <w:sz w:val="17"/>
              </w:rPr>
              <w:t>$3.60</w:t>
            </w:r>
          </w:p>
        </w:tc>
      </w:tr>
      <w:tr>
        <w:tc>
          <w:tcPr>
            <w:tcW w:type="dxa" w:w="5083"/>
            <w:vAlign w:val="center"/>
          </w:tcPr>
          <w:p>
            <w:r>
              <w:rPr>
                <w:sz w:val="17"/>
              </w:rPr>
              <w:t>12-inch cheese pizza</w:t>
            </w:r>
          </w:p>
        </w:tc>
        <w:tc>
          <w:tcPr>
            <w:tcW w:type="dxa" w:w="5083"/>
            <w:vAlign w:val="center"/>
          </w:tcPr>
          <w:p>
            <w:r>
              <w:rPr>
                <w:sz w:val="17"/>
              </w:rPr>
              <w:t>$7.10</w:t>
            </w:r>
          </w:p>
        </w:tc>
      </w:tr>
      <w:tr>
        <w:tc>
          <w:tcPr>
            <w:tcW w:type="dxa" w:w="5083"/>
            <w:vAlign w:val="center"/>
          </w:tcPr>
          <w:p>
            <w:r>
              <w:rPr>
                <w:sz w:val="17"/>
              </w:rPr>
              <w:t>12-inch pepperoni / seasonal pizza</w:t>
            </w:r>
          </w:p>
        </w:tc>
        <w:tc>
          <w:tcPr>
            <w:tcW w:type="dxa" w:w="5083"/>
            <w:vAlign w:val="center"/>
          </w:tcPr>
          <w:p>
            <w:r>
              <w:rPr>
                <w:sz w:val="17"/>
              </w:rPr>
              <w:t>$8.10</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sz w:val="17"/>
              </w:rPr>
              <w:t>Observed period</w:t>
            </w:r>
          </w:p>
        </w:tc>
        <w:tc>
          <w:tcPr>
            <w:tcW w:type="dxa" w:w="3389"/>
            <w:shd w:fill="D9E2F3"/>
          </w:tcPr>
          <w:p>
            <w:r>
              <w:rPr>
                <w:b/>
                <w:sz w:val="17"/>
              </w:rPr>
              <w:t>Units</w:t>
            </w:r>
          </w:p>
        </w:tc>
        <w:tc>
          <w:tcPr>
            <w:tcW w:type="dxa" w:w="3389"/>
            <w:shd w:fill="D9E2F3"/>
          </w:tcPr>
          <w:p>
            <w:r>
              <w:rPr>
                <w:b/>
                <w:sz w:val="17"/>
              </w:rPr>
              <w:t>Net sales</w:t>
            </w:r>
          </w:p>
        </w:tc>
      </w:tr>
      <w:tr>
        <w:tc>
          <w:tcPr>
            <w:tcW w:type="dxa" w:w="3389"/>
            <w:vAlign w:val="center"/>
          </w:tcPr>
          <w:p>
            <w:r>
              <w:rPr>
                <w:sz w:val="17"/>
              </w:rPr>
              <w:t>Mar. 30–Apr. 11</w:t>
            </w:r>
          </w:p>
        </w:tc>
        <w:tc>
          <w:tcPr>
            <w:tcW w:type="dxa" w:w="3389"/>
            <w:vAlign w:val="center"/>
          </w:tcPr>
          <w:p>
            <w:r>
              <w:rPr>
                <w:sz w:val="17"/>
              </w:rPr>
              <w:t>297</w:t>
            </w:r>
          </w:p>
        </w:tc>
        <w:tc>
          <w:tcPr>
            <w:tcW w:type="dxa" w:w="3389"/>
            <w:vAlign w:val="center"/>
          </w:tcPr>
          <w:p>
            <w:r>
              <w:rPr>
                <w:sz w:val="17"/>
              </w:rPr>
              <w:t>$1,540.70</w:t>
            </w:r>
          </w:p>
        </w:tc>
      </w:tr>
      <w:tr>
        <w:tc>
          <w:tcPr>
            <w:tcW w:type="dxa" w:w="3389"/>
            <w:vAlign w:val="center"/>
          </w:tcPr>
          <w:p>
            <w:r>
              <w:rPr>
                <w:sz w:val="17"/>
              </w:rPr>
              <w:t>Apr. 13–19</w:t>
            </w:r>
          </w:p>
        </w:tc>
        <w:tc>
          <w:tcPr>
            <w:tcW w:type="dxa" w:w="3389"/>
            <w:vAlign w:val="center"/>
          </w:tcPr>
          <w:p>
            <w:r>
              <w:rPr>
                <w:sz w:val="17"/>
              </w:rPr>
              <w:t>88</w:t>
            </w:r>
          </w:p>
        </w:tc>
        <w:tc>
          <w:tcPr>
            <w:tcW w:type="dxa" w:w="3389"/>
            <w:vAlign w:val="center"/>
          </w:tcPr>
          <w:p>
            <w:r>
              <w:rPr>
                <w:sz w:val="17"/>
              </w:rPr>
              <w:t>$458.80</w:t>
            </w:r>
          </w:p>
        </w:tc>
      </w:tr>
      <w:tr>
        <w:tc>
          <w:tcPr>
            <w:tcW w:type="dxa" w:w="3389"/>
            <w:vAlign w:val="center"/>
          </w:tcPr>
          <w:p>
            <w:r>
              <w:rPr>
                <w:sz w:val="17"/>
              </w:rPr>
              <w:t>May 10–16</w:t>
            </w:r>
          </w:p>
        </w:tc>
        <w:tc>
          <w:tcPr>
            <w:tcW w:type="dxa" w:w="3389"/>
            <w:vAlign w:val="center"/>
          </w:tcPr>
          <w:p>
            <w:r>
              <w:rPr>
                <w:sz w:val="17"/>
              </w:rPr>
              <w:t>100</w:t>
            </w:r>
          </w:p>
        </w:tc>
        <w:tc>
          <w:tcPr>
            <w:tcW w:type="dxa" w:w="3389"/>
            <w:vAlign w:val="center"/>
          </w:tcPr>
          <w:p>
            <w:r>
              <w:rPr>
                <w:sz w:val="17"/>
              </w:rPr>
              <w:t>$520.50</w:t>
            </w:r>
          </w:p>
        </w:tc>
      </w:tr>
    </w:tbl>
    <w:p/>
    <w:p>
      <w:r>
        <w:t>Eastside Food Co-op is also a paying recurring customer at approximately $600/month in existing evidence, not only a supplier.</w:t>
      </w:r>
    </w:p>
    <w:p>
      <w:pPr>
        <w:pStyle w:val="Heading1"/>
      </w:pPr>
      <w:r>
        <w:t>12. Pizza Economics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12-inch cheese pizza component</w:t>
            </w:r>
          </w:p>
        </w:tc>
        <w:tc>
          <w:tcPr>
            <w:tcW w:type="dxa" w:w="5083"/>
            <w:shd w:fill="D9E2F3"/>
          </w:tcPr>
          <w:p>
            <w:r>
              <w:rPr>
                <w:b/>
                <w:sz w:val="17"/>
              </w:rPr>
              <w:t>Owner-reported cost</w:t>
            </w:r>
          </w:p>
        </w:tc>
      </w:tr>
      <w:tr>
        <w:tc>
          <w:tcPr>
            <w:tcW w:type="dxa" w:w="5083"/>
            <w:vAlign w:val="center"/>
          </w:tcPr>
          <w:p>
            <w:r>
              <w:rPr>
                <w:sz w:val="17"/>
              </w:rPr>
              <w:t>Dough</w:t>
            </w:r>
          </w:p>
        </w:tc>
        <w:tc>
          <w:tcPr>
            <w:tcW w:type="dxa" w:w="5083"/>
            <w:vAlign w:val="center"/>
          </w:tcPr>
          <w:p>
            <w:r>
              <w:rPr>
                <w:sz w:val="17"/>
              </w:rPr>
              <w:t>$0.75</w:t>
            </w:r>
          </w:p>
        </w:tc>
      </w:tr>
      <w:tr>
        <w:tc>
          <w:tcPr>
            <w:tcW w:type="dxa" w:w="5083"/>
            <w:vAlign w:val="center"/>
          </w:tcPr>
          <w:p>
            <w:r>
              <w:rPr>
                <w:sz w:val="17"/>
              </w:rPr>
              <w:t>Sauce</w:t>
            </w:r>
          </w:p>
        </w:tc>
        <w:tc>
          <w:tcPr>
            <w:tcW w:type="dxa" w:w="5083"/>
            <w:vAlign w:val="center"/>
          </w:tcPr>
          <w:p>
            <w:r>
              <w:rPr>
                <w:sz w:val="17"/>
              </w:rPr>
              <w:t>$0.17</w:t>
            </w:r>
          </w:p>
        </w:tc>
      </w:tr>
      <w:tr>
        <w:tc>
          <w:tcPr>
            <w:tcW w:type="dxa" w:w="5083"/>
            <w:vAlign w:val="center"/>
          </w:tcPr>
          <w:p>
            <w:r>
              <w:rPr>
                <w:sz w:val="17"/>
              </w:rPr>
              <w:t>Cheese</w:t>
            </w:r>
          </w:p>
        </w:tc>
        <w:tc>
          <w:tcPr>
            <w:tcW w:type="dxa" w:w="5083"/>
            <w:vAlign w:val="center"/>
          </w:tcPr>
          <w:p>
            <w:r>
              <w:rPr>
                <w:sz w:val="17"/>
              </w:rPr>
              <w:t>$1.00</w:t>
            </w:r>
          </w:p>
        </w:tc>
      </w:tr>
      <w:tr>
        <w:tc>
          <w:tcPr>
            <w:tcW w:type="dxa" w:w="5083"/>
            <w:vAlign w:val="center"/>
          </w:tcPr>
          <w:p>
            <w:r>
              <w:rPr>
                <w:sz w:val="17"/>
              </w:rPr>
              <w:t>Total ingredients</w:t>
            </w:r>
          </w:p>
        </w:tc>
        <w:tc>
          <w:tcPr>
            <w:tcW w:type="dxa" w:w="5083"/>
            <w:vAlign w:val="center"/>
          </w:tcPr>
          <w:p>
            <w:r>
              <w:rPr>
                <w:sz w:val="17"/>
              </w:rPr>
              <w:t>$1.92</w:t>
            </w:r>
          </w:p>
        </w:tc>
      </w:tr>
    </w:tbl>
    <w:p/>
    <w:p>
      <w:r>
        <w:t>Current price point across uses is approximately $7–$11. Owner-reported production rate is approximately 40 pizzas/hour with two people. These remain owner-reported empirical inputs pending full invoice-level reconciliation.</w:t>
      </w:r>
    </w:p>
    <w:p>
      <w:pPr>
        <w:pStyle w:val="Heading1"/>
      </w:pPr>
      <w:r>
        <w:t>13. Operating Scale and Data Infrastructure</w:t>
      </w:r>
    </w:p>
    <w:p>
      <w:r>
        <w:t>Company Brain stores ledger events, entities, relationship assertions, and inference signals. A July verification pass read 1,752 payments, 320 orders, and 933 web-traffic records; the order projector separately saw 317 orders and resolved approximately 300 customer entities. Customer-entity counts should not be treated as unique-customer counts without deduplication.</w:t>
      </w:r>
    </w:p>
    <w:p>
      <w:pPr>
        <w:pStyle w:val="Heading1"/>
      </w:pPr>
      <w:r>
        <w:t>14. Sales Infrastructure</w:t>
      </w:r>
    </w:p>
    <w:p>
      <w:pPr>
        <w:jc w:val="center"/>
      </w:pPr>
      <w:r>
        <w:rPr>
          <w:b/>
        </w:rPr>
        <w:t>Lead → Opportunity → Transaction → Customer → Reorder</w:t>
      </w:r>
    </w:p>
    <w:p>
      <w:r>
        <w:t>The sales layer should measure source, estimated revenue, stage, probability, next action, transaction, lifetime value, reorder timing, subscription state, and contribution by channel.</w:t>
      </w:r>
    </w:p>
    <w:p>
      <w:pPr>
        <w:pStyle w:val="Heading1"/>
      </w:pPr>
      <w:r>
        <w:t>15. Current Financing</w:t>
      </w:r>
    </w:p>
    <w:p>
      <w:r>
        <w:t>A June 2026 inflow of $2,110 was identified as a Square Capital loan rather than revenue or investment capital. Repayment is approximately 11% of daily Square sales. Current payoff balance must be refreshed. A complete debt schedule remains open.</w:t>
      </w:r>
    </w:p>
    <w:p>
      <w:pPr>
        <w:pStyle w:val="Heading1"/>
      </w:pPr>
      <w:r>
        <w:t>16. Current Growth Economics</w:t>
      </w:r>
    </w:p>
    <w:p>
      <w:r>
        <w:t>The founder-compensation correction and Hopkins move materially lower the revenue required for normalized operations compared with the prior July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sz w:val="17"/>
              </w:rPr>
              <w:t>Staffing configuration</w:t>
            </w:r>
          </w:p>
        </w:tc>
        <w:tc>
          <w:tcPr>
            <w:tcW w:type="dxa" w:w="3389"/>
            <w:shd w:fill="D9E2F3"/>
          </w:tcPr>
          <w:p>
            <w:r>
              <w:rPr>
                <w:b/>
                <w:sz w:val="17"/>
              </w:rPr>
              <w:t>Approx. monthly labor</w:t>
            </w:r>
          </w:p>
        </w:tc>
        <w:tc>
          <w:tcPr>
            <w:tcW w:type="dxa" w:w="3389"/>
            <w:shd w:fill="D9E2F3"/>
          </w:tcPr>
          <w:p>
            <w:r>
              <w:rPr>
                <w:b/>
                <w:sz w:val="17"/>
              </w:rPr>
              <w:t>Revenue required at 35% labor</w:t>
            </w:r>
          </w:p>
        </w:tc>
      </w:tr>
      <w:tr>
        <w:tc>
          <w:tcPr>
            <w:tcW w:type="dxa" w:w="3389"/>
            <w:vAlign w:val="center"/>
          </w:tcPr>
          <w:p>
            <w:r>
              <w:rPr>
                <w:sz w:val="17"/>
              </w:rPr>
              <w:t>Founders only ($45k + $45k)</w:t>
            </w:r>
          </w:p>
        </w:tc>
        <w:tc>
          <w:tcPr>
            <w:tcW w:type="dxa" w:w="3389"/>
            <w:vAlign w:val="center"/>
          </w:tcPr>
          <w:p>
            <w:r>
              <w:rPr>
                <w:sz w:val="17"/>
              </w:rPr>
              <w:t>$7,500</w:t>
            </w:r>
          </w:p>
        </w:tc>
        <w:tc>
          <w:tcPr>
            <w:tcW w:type="dxa" w:w="3389"/>
            <w:vAlign w:val="center"/>
          </w:tcPr>
          <w:p>
            <w:r>
              <w:rPr>
                <w:sz w:val="17"/>
              </w:rPr>
              <w:t>$21,429</w:t>
            </w:r>
          </w:p>
        </w:tc>
      </w:tr>
      <w:tr>
        <w:tc>
          <w:tcPr>
            <w:tcW w:type="dxa" w:w="3389"/>
            <w:vAlign w:val="center"/>
          </w:tcPr>
          <w:p>
            <w:r>
              <w:rPr>
                <w:sz w:val="17"/>
              </w:rPr>
              <w:t>Founders + Maria (~15h/wk @ $35)</w:t>
            </w:r>
          </w:p>
        </w:tc>
        <w:tc>
          <w:tcPr>
            <w:tcW w:type="dxa" w:w="3389"/>
            <w:vAlign w:val="center"/>
          </w:tcPr>
          <w:p>
            <w:r>
              <w:rPr>
                <w:sz w:val="17"/>
              </w:rPr>
              <w:t>$9,775</w:t>
            </w:r>
          </w:p>
        </w:tc>
        <w:tc>
          <w:tcPr>
            <w:tcW w:type="dxa" w:w="3389"/>
            <w:vAlign w:val="center"/>
          </w:tcPr>
          <w:p>
            <w:r>
              <w:rPr>
                <w:sz w:val="17"/>
              </w:rPr>
              <w:t>$27,929</w:t>
            </w:r>
          </w:p>
        </w:tc>
      </w:tr>
      <w:tr>
        <w:tc>
          <w:tcPr>
            <w:tcW w:type="dxa" w:w="3389"/>
            <w:vAlign w:val="center"/>
          </w:tcPr>
          <w:p>
            <w:r>
              <w:rPr>
                <w:sz w:val="17"/>
              </w:rPr>
              <w:t>Founders + Maria + junior (~15h/wk @ $25)</w:t>
            </w:r>
          </w:p>
        </w:tc>
        <w:tc>
          <w:tcPr>
            <w:tcW w:type="dxa" w:w="3389"/>
            <w:vAlign w:val="center"/>
          </w:tcPr>
          <w:p>
            <w:r>
              <w:rPr>
                <w:sz w:val="17"/>
              </w:rPr>
              <w:t>$11,400</w:t>
            </w:r>
          </w:p>
        </w:tc>
        <w:tc>
          <w:tcPr>
            <w:tcW w:type="dxa" w:w="3389"/>
            <w:vAlign w:val="center"/>
          </w:tcPr>
          <w:p>
            <w:r>
              <w:rPr>
                <w:sz w:val="17"/>
              </w:rPr>
              <w:t>$32,571</w:t>
            </w:r>
          </w:p>
        </w:tc>
      </w:tr>
      <w:tr>
        <w:tc>
          <w:tcPr>
            <w:tcW w:type="dxa" w:w="3389"/>
            <w:vAlign w:val="center"/>
          </w:tcPr>
          <w:p>
            <w:r>
              <w:rPr>
                <w:sz w:val="17"/>
              </w:rPr>
              <w:t>Founders + Maria + junior + second chef (~15h/wk @ $35)</w:t>
            </w:r>
          </w:p>
        </w:tc>
        <w:tc>
          <w:tcPr>
            <w:tcW w:type="dxa" w:w="3389"/>
            <w:vAlign w:val="center"/>
          </w:tcPr>
          <w:p>
            <w:r>
              <w:rPr>
                <w:sz w:val="17"/>
              </w:rPr>
              <w:t>$13,675</w:t>
            </w:r>
          </w:p>
        </w:tc>
        <w:tc>
          <w:tcPr>
            <w:tcW w:type="dxa" w:w="3389"/>
            <w:vAlign w:val="center"/>
          </w:tcPr>
          <w:p>
            <w:r>
              <w:rPr>
                <w:sz w:val="17"/>
              </w:rPr>
              <w:t>$39,071</w:t>
            </w:r>
          </w:p>
        </w:tc>
      </w:tr>
    </w:tbl>
    <w:p/>
    <w:p>
      <w:r>
        <w:t>Approximately $28,000/month is the mathematical current-team threshold for both founders to receive full $45,000 salaries while labor remains at 35%. A more durable normalized operating scale is approximately $35,000–$40,000/month because it supports additional paid production labor and leaves less risk of immediately breaching the labor ceiling.</w:t>
      </w:r>
    </w:p>
    <w:p>
      <w:r>
        <w:t>Recommended internal gate: full current founder salaries after trailing three-month operating revenue reaches approximately $32,000–$35,000/month, forward revenue supports the same level, and the company retains adequate non-founder operating liquidity after payroll. Historical back-pay settlement is a separate, later gate.</w:t>
      </w:r>
    </w:p>
    <w:p>
      <w:pPr>
        <w:pStyle w:val="Heading1"/>
      </w:pPr>
      <w:r>
        <w:t>17. Current Capital Strategy</w:t>
      </w:r>
    </w:p>
    <w:p>
      <w:r>
        <w:t>Wefunder target: $65,000. Current management intent is a 6% cumulative annual return/dividend with an approximately 3–5 year maturity/redemption horizon. Final legal instrument remains open.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sz w:val="17"/>
              </w:rPr>
              <w:t>Horizon</w:t>
            </w:r>
          </w:p>
        </w:tc>
        <w:tc>
          <w:tcPr>
            <w:tcW w:type="dxa" w:w="3389"/>
            <w:shd w:fill="D9E2F3"/>
          </w:tcPr>
          <w:p>
            <w:r>
              <w:rPr>
                <w:b/>
                <w:sz w:val="17"/>
              </w:rPr>
              <w:t>Simple accumulated 6% return</w:t>
            </w:r>
          </w:p>
        </w:tc>
        <w:tc>
          <w:tcPr>
            <w:tcW w:type="dxa" w:w="3389"/>
            <w:shd w:fill="D9E2F3"/>
          </w:tcPr>
          <w:p>
            <w:r>
              <w:rPr>
                <w:b/>
                <w:sz w:val="17"/>
              </w:rPr>
              <w:t>Principal + return</w:t>
            </w:r>
          </w:p>
        </w:tc>
      </w:tr>
      <w:tr>
        <w:tc>
          <w:tcPr>
            <w:tcW w:type="dxa" w:w="3389"/>
            <w:vAlign w:val="center"/>
          </w:tcPr>
          <w:p>
            <w:r>
              <w:rPr>
                <w:sz w:val="17"/>
              </w:rPr>
              <w:t>3 years</w:t>
            </w:r>
          </w:p>
        </w:tc>
        <w:tc>
          <w:tcPr>
            <w:tcW w:type="dxa" w:w="3389"/>
            <w:vAlign w:val="center"/>
          </w:tcPr>
          <w:p>
            <w:r>
              <w:rPr>
                <w:sz w:val="17"/>
              </w:rPr>
              <w:t>$11,700</w:t>
            </w:r>
          </w:p>
        </w:tc>
        <w:tc>
          <w:tcPr>
            <w:tcW w:type="dxa" w:w="3389"/>
            <w:vAlign w:val="center"/>
          </w:tcPr>
          <w:p>
            <w:r>
              <w:rPr>
                <w:sz w:val="17"/>
              </w:rPr>
              <w:t>$76,700</w:t>
            </w:r>
          </w:p>
        </w:tc>
      </w:tr>
      <w:tr>
        <w:tc>
          <w:tcPr>
            <w:tcW w:type="dxa" w:w="3389"/>
            <w:vAlign w:val="center"/>
          </w:tcPr>
          <w:p>
            <w:r>
              <w:rPr>
                <w:sz w:val="17"/>
              </w:rPr>
              <w:t>4 years</w:t>
            </w:r>
          </w:p>
        </w:tc>
        <w:tc>
          <w:tcPr>
            <w:tcW w:type="dxa" w:w="3389"/>
            <w:vAlign w:val="center"/>
          </w:tcPr>
          <w:p>
            <w:r>
              <w:rPr>
                <w:sz w:val="17"/>
              </w:rPr>
              <w:t>$15,600</w:t>
            </w:r>
          </w:p>
        </w:tc>
        <w:tc>
          <w:tcPr>
            <w:tcW w:type="dxa" w:w="3389"/>
            <w:vAlign w:val="center"/>
          </w:tcPr>
          <w:p>
            <w:r>
              <w:rPr>
                <w:sz w:val="17"/>
              </w:rPr>
              <w:t>$80,600</w:t>
            </w:r>
          </w:p>
        </w:tc>
      </w:tr>
      <w:tr>
        <w:tc>
          <w:tcPr>
            <w:tcW w:type="dxa" w:w="3389"/>
            <w:vAlign w:val="center"/>
          </w:tcPr>
          <w:p>
            <w:r>
              <w:rPr>
                <w:sz w:val="17"/>
              </w:rPr>
              <w:t>5 years</w:t>
            </w:r>
          </w:p>
        </w:tc>
        <w:tc>
          <w:tcPr>
            <w:tcW w:type="dxa" w:w="3389"/>
            <w:vAlign w:val="center"/>
          </w:tcPr>
          <w:p>
            <w:r>
              <w:rPr>
                <w:sz w:val="17"/>
              </w:rPr>
              <w:t>$19,500</w:t>
            </w:r>
          </w:p>
        </w:tc>
        <w:tc>
          <w:tcPr>
            <w:tcW w:type="dxa" w:w="3389"/>
            <w:vAlign w:val="center"/>
          </w:tcPr>
          <w:p>
            <w:r>
              <w:rPr>
                <w:sz w:val="17"/>
              </w:rPr>
              <w:t>$84,500</w:t>
            </w:r>
          </w:p>
        </w:tc>
      </w:tr>
    </w:tbl>
    <w:p/>
    <w:p>
      <w:pPr>
        <w:pStyle w:val="Heading1"/>
      </w:pPr>
      <w:r>
        <w:t>18. Why $65,000</w:t>
      </w:r>
    </w:p>
    <w:p>
      <w:r>
        <w:t>The prior July calibrated economist model recommended approximately $50,000 of capitalization under older facility and founder-compensation assumptions. The current $65,000 target remains defensible as growth plus resilience capital, but the updated Hopkins cost structure and $90,000 combined founder-compensation policy should be incorporated into the next cash model before treating $65,000 as a mathematically optimized amount.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Conceptual allocation</w:t>
            </w:r>
          </w:p>
        </w:tc>
        <w:tc>
          <w:tcPr>
            <w:tcW w:type="dxa" w:w="5083"/>
            <w:shd w:fill="D9E2F3"/>
          </w:tcPr>
          <w:p>
            <w:r>
              <w:rPr>
                <w:b/>
                <w:sz w:val="17"/>
              </w:rPr>
              <w:t>Planning amount</w:t>
            </w:r>
          </w:p>
        </w:tc>
      </w:tr>
      <w:tr>
        <w:tc>
          <w:tcPr>
            <w:tcW w:type="dxa" w:w="5083"/>
            <w:vAlign w:val="center"/>
          </w:tcPr>
          <w:p>
            <w:r>
              <w:rPr>
                <w:sz w:val="17"/>
              </w:rPr>
              <w:t>Operating/growth capitalization</w:t>
            </w:r>
          </w:p>
        </w:tc>
        <w:tc>
          <w:tcPr>
            <w:tcW w:type="dxa" w:w="5083"/>
            <w:vAlign w:val="center"/>
          </w:tcPr>
          <w:p>
            <w:r>
              <w:rPr>
                <w:sz w:val="17"/>
              </w:rPr>
              <w:t>$50,000</w:t>
            </w:r>
          </w:p>
        </w:tc>
      </w:tr>
      <w:tr>
        <w:tc>
          <w:tcPr>
            <w:tcW w:type="dxa" w:w="5083"/>
            <w:vAlign w:val="center"/>
          </w:tcPr>
          <w:p>
            <w:r>
              <w:rPr>
                <w:sz w:val="17"/>
              </w:rPr>
              <w:t>Reserve, raise costs, transition expense, downside protection</w:t>
            </w:r>
          </w:p>
        </w:tc>
        <w:tc>
          <w:tcPr>
            <w:tcW w:type="dxa" w:w="5083"/>
            <w:vAlign w:val="center"/>
          </w:tcPr>
          <w:p>
            <w:r>
              <w:rPr>
                <w:sz w:val="17"/>
              </w:rPr>
              <w:t>$15,000</w:t>
            </w:r>
          </w:p>
        </w:tc>
      </w:tr>
      <w:tr>
        <w:tc>
          <w:tcPr>
            <w:tcW w:type="dxa" w:w="5083"/>
            <w:vAlign w:val="center"/>
          </w:tcPr>
          <w:p>
            <w:r>
              <w:rPr>
                <w:sz w:val="17"/>
              </w:rPr>
              <w:t>Wefunder target</w:t>
            </w:r>
          </w:p>
        </w:tc>
        <w:tc>
          <w:tcPr>
            <w:tcW w:type="dxa" w:w="5083"/>
            <w:vAlign w:val="center"/>
          </w:tcPr>
          <w:p>
            <w:r>
              <w:rPr>
                <w:sz w:val="17"/>
              </w:rPr>
              <w:t>$65,000</w:t>
            </w:r>
          </w:p>
        </w:tc>
      </w:tr>
    </w:tbl>
    <w:p/>
    <w:p>
      <w:pPr>
        <w:pStyle w:val="Heading1"/>
      </w:pPr>
      <w:r>
        <w:t>19. Preliminary $65,000 Use of Funds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Use</w:t>
            </w:r>
          </w:p>
        </w:tc>
        <w:tc>
          <w:tcPr>
            <w:tcW w:type="dxa" w:w="5083"/>
            <w:shd w:fill="D9E2F3"/>
          </w:tcPr>
          <w:p>
            <w:r>
              <w:rPr>
                <w:b/>
                <w:sz w:val="17"/>
              </w:rPr>
              <w:t>Preliminary amount</w:t>
            </w:r>
          </w:p>
        </w:tc>
      </w:tr>
      <w:tr>
        <w:tc>
          <w:tcPr>
            <w:tcW w:type="dxa" w:w="5083"/>
            <w:vAlign w:val="center"/>
          </w:tcPr>
          <w:p>
            <w:r>
              <w:rPr>
                <w:sz w:val="17"/>
              </w:rPr>
              <w:t>Working-capital reserve / operating runway</w:t>
            </w:r>
          </w:p>
        </w:tc>
        <w:tc>
          <w:tcPr>
            <w:tcW w:type="dxa" w:w="5083"/>
            <w:vAlign w:val="center"/>
          </w:tcPr>
          <w:p>
            <w:r>
              <w:rPr>
                <w:sz w:val="17"/>
              </w:rPr>
              <w:t>$20,000</w:t>
            </w:r>
          </w:p>
        </w:tc>
      </w:tr>
      <w:tr>
        <w:tc>
          <w:tcPr>
            <w:tcW w:type="dxa" w:w="5083"/>
            <w:vAlign w:val="center"/>
          </w:tcPr>
          <w:p>
            <w:r>
              <w:rPr>
                <w:sz w:val="17"/>
              </w:rPr>
              <w:t>Production labor and staged hiring</w:t>
            </w:r>
          </w:p>
        </w:tc>
        <w:tc>
          <w:tcPr>
            <w:tcW w:type="dxa" w:w="5083"/>
            <w:vAlign w:val="center"/>
          </w:tcPr>
          <w:p>
            <w:r>
              <w:rPr>
                <w:sz w:val="17"/>
              </w:rPr>
              <w:t>$12,000</w:t>
            </w:r>
          </w:p>
        </w:tc>
      </w:tr>
      <w:tr>
        <w:tc>
          <w:tcPr>
            <w:tcW w:type="dxa" w:w="5083"/>
            <w:vAlign w:val="center"/>
          </w:tcPr>
          <w:p>
            <w:r>
              <w:rPr>
                <w:sz w:val="17"/>
              </w:rPr>
              <w:t>Production equipment / refrigeration / workflow improvements</w:t>
            </w:r>
          </w:p>
        </w:tc>
        <w:tc>
          <w:tcPr>
            <w:tcW w:type="dxa" w:w="5083"/>
            <w:vAlign w:val="center"/>
          </w:tcPr>
          <w:p>
            <w:r>
              <w:rPr>
                <w:sz w:val="17"/>
              </w:rPr>
              <w:t>$8,000</w:t>
            </w:r>
          </w:p>
        </w:tc>
      </w:tr>
      <w:tr>
        <w:tc>
          <w:tcPr>
            <w:tcW w:type="dxa" w:w="5083"/>
            <w:vAlign w:val="center"/>
          </w:tcPr>
          <w:p>
            <w:r>
              <w:rPr>
                <w:sz w:val="17"/>
              </w:rPr>
              <w:t>Inventory and packaging</w:t>
            </w:r>
          </w:p>
        </w:tc>
        <w:tc>
          <w:tcPr>
            <w:tcW w:type="dxa" w:w="5083"/>
            <w:vAlign w:val="center"/>
          </w:tcPr>
          <w:p>
            <w:r>
              <w:rPr>
                <w:sz w:val="17"/>
              </w:rPr>
              <w:t>$5,000</w:t>
            </w:r>
          </w:p>
        </w:tc>
      </w:tr>
      <w:tr>
        <w:tc>
          <w:tcPr>
            <w:tcW w:type="dxa" w:w="5083"/>
            <w:vAlign w:val="center"/>
          </w:tcPr>
          <w:p>
            <w:r>
              <w:rPr>
                <w:sz w:val="17"/>
              </w:rPr>
              <w:t>Hopkins facility / licensing / insurance / setup</w:t>
            </w:r>
          </w:p>
        </w:tc>
        <w:tc>
          <w:tcPr>
            <w:tcW w:type="dxa" w:w="5083"/>
            <w:vAlign w:val="center"/>
          </w:tcPr>
          <w:p>
            <w:r>
              <w:rPr>
                <w:sz w:val="17"/>
              </w:rPr>
              <w:t>$5,000</w:t>
            </w:r>
          </w:p>
        </w:tc>
      </w:tr>
      <w:tr>
        <w:tc>
          <w:tcPr>
            <w:tcW w:type="dxa" w:w="5083"/>
            <w:vAlign w:val="center"/>
          </w:tcPr>
          <w:p>
            <w:r>
              <w:rPr>
                <w:sz w:val="17"/>
              </w:rPr>
              <w:t>Sales-system build and customer acquisition</w:t>
            </w:r>
          </w:p>
        </w:tc>
        <w:tc>
          <w:tcPr>
            <w:tcW w:type="dxa" w:w="5083"/>
            <w:vAlign w:val="center"/>
          </w:tcPr>
          <w:p>
            <w:r>
              <w:rPr>
                <w:sz w:val="17"/>
              </w:rPr>
              <w:t>$5,000</w:t>
            </w:r>
          </w:p>
        </w:tc>
      </w:tr>
      <w:tr>
        <w:tc>
          <w:tcPr>
            <w:tcW w:type="dxa" w:w="5083"/>
            <w:vAlign w:val="center"/>
          </w:tcPr>
          <w:p>
            <w:r>
              <w:rPr>
                <w:sz w:val="17"/>
              </w:rPr>
              <w:t>Wefunder, legal, accounting and financing costs</w:t>
            </w:r>
          </w:p>
        </w:tc>
        <w:tc>
          <w:tcPr>
            <w:tcW w:type="dxa" w:w="5083"/>
            <w:vAlign w:val="center"/>
          </w:tcPr>
          <w:p>
            <w:r>
              <w:rPr>
                <w:sz w:val="17"/>
              </w:rPr>
              <w:t>$5,000</w:t>
            </w:r>
          </w:p>
        </w:tc>
      </w:tr>
      <w:tr>
        <w:tc>
          <w:tcPr>
            <w:tcW w:type="dxa" w:w="5083"/>
            <w:vAlign w:val="center"/>
          </w:tcPr>
          <w:p>
            <w:r>
              <w:rPr>
                <w:sz w:val="17"/>
              </w:rPr>
              <w:t>Contingency / minimum cash reserve</w:t>
            </w:r>
          </w:p>
        </w:tc>
        <w:tc>
          <w:tcPr>
            <w:tcW w:type="dxa" w:w="5083"/>
            <w:vAlign w:val="center"/>
          </w:tcPr>
          <w:p>
            <w:r>
              <w:rPr>
                <w:sz w:val="17"/>
              </w:rPr>
              <w:t>$5,000</w:t>
            </w:r>
          </w:p>
        </w:tc>
      </w:tr>
      <w:tr>
        <w:tc>
          <w:tcPr>
            <w:tcW w:type="dxa" w:w="5083"/>
            <w:vAlign w:val="center"/>
          </w:tcPr>
          <w:p>
            <w:r>
              <w:rPr>
                <w:sz w:val="17"/>
              </w:rPr>
              <w:t>Total</w:t>
            </w:r>
          </w:p>
        </w:tc>
        <w:tc>
          <w:tcPr>
            <w:tcW w:type="dxa" w:w="5083"/>
            <w:vAlign w:val="center"/>
          </w:tcPr>
          <w:p>
            <w:r>
              <w:rPr>
                <w:sz w:val="17"/>
              </w:rPr>
              <w:t>$65,000</w:t>
            </w:r>
          </w:p>
        </w:tc>
      </w:tr>
    </w:tbl>
    <w:p/>
    <w:p>
      <w:r>
        <w:t>Final use of funds should be replaced by quote-backed and cash-model-backed amounts.</w:t>
      </w:r>
    </w:p>
    <w:p>
      <w:pPr>
        <w:pStyle w:val="Heading1"/>
      </w:pPr>
      <w:r>
        <w:t>20. MCCD / Public Capital Layer</w:t>
      </w:r>
    </w:p>
    <w:p>
      <w:r>
        <w:t>Local Effort should pursue MCCD independently of the $65,000 Wefunder target. Do not define the plan as $65,000 Wefunder + $35,000 MCCD = $100,000 required. MCCD should be sized against productive uses and runway requirements established by the updated monthly cash model.</w:t>
      </w:r>
    </w:p>
    <w:p>
      <w:pPr>
        <w:pStyle w:val="Heading1"/>
      </w:pPr>
      <w:r>
        <w:t>21. MCCD Meeting Objective</w:t>
      </w:r>
    </w:p>
    <w:p>
      <w:r>
        <w:t>Design the lowest-cost capital stack and technical-assistance package available to a Minnesota 308B cooperative with majority-women ownership, existing operations, a Hopkins production base, and a $65,000 community raise in preparation.</w:t>
      </w:r>
    </w:p>
    <w:p>
      <w:pPr>
        <w:pStyle w:val="ListBullet"/>
      </w:pPr>
      <w:r>
        <w:t>Best primary cooperative/shared-ownership financing program.</w:t>
      </w:r>
    </w:p>
    <w:p>
      <w:pPr>
        <w:pStyle w:val="ListBullet"/>
      </w:pPr>
      <w:r>
        <w:t>Treatment of Wefunder proceeds and the Wefunder security in underwriting.</w:t>
      </w:r>
    </w:p>
    <w:p>
      <w:pPr>
        <w:pStyle w:val="ListBullet"/>
      </w:pPr>
      <w:r>
        <w:t>Eligible working-capital, equipment, refrigeration, inventory, packaging, and facility uses.</w:t>
      </w:r>
    </w:p>
    <w:p>
      <w:pPr>
        <w:pStyle w:val="ListBullet"/>
      </w:pPr>
      <w:r>
        <w:t>Matching-capital requirements, collateral, guarantees, subordination, and technical assistance.</w:t>
      </w:r>
    </w:p>
    <w:p>
      <w:pPr>
        <w:pStyle w:val="ListBullet"/>
      </w:pPr>
      <w:r>
        <w:t>Prudent amount and term given the updated $35k–$40k normalized operating target.</w:t>
      </w:r>
    </w:p>
    <w:p>
      <w:pPr>
        <w:pStyle w:val="Heading1"/>
      </w:pPr>
      <w:r>
        <w:t>22. Financing Thesis</w:t>
      </w:r>
    </w:p>
    <w:p>
      <w:r>
        <w:t>Local Effort is not a pre-revenue startup financing an untested concept. It is an operating food cooperative with demonstrated revenue across recurring meal service, events, and wholesale. Growth is constrained primarily by working capital, paid production capacity, production density, and sales infrastructure.</w:t>
      </w:r>
    </w:p>
    <w:p>
      <w:r>
        <w:t>The investment case is the transition from undercapitalized owner-driven production to adequately capitalized recurring-revenue production with paid labor, reserve cash, and a systematic sales layer.</w:t>
      </w:r>
    </w:p>
    <w:p>
      <w:pPr>
        <w:pStyle w:val="Heading1"/>
      </w:pPr>
      <w:r>
        <w:t>23. Why Capital Is Needed</w:t>
      </w:r>
    </w:p>
    <w:p>
      <w:r>
        <w:t>Ingredients, packaging, kitchen hours, payroll, delivery, insurance, licensing, equipment, and customer acquisition require cash before all associated growth revenue is collected.</w:t>
      </w:r>
    </w:p>
    <w:p>
      <w:pPr>
        <w:jc w:val="center"/>
      </w:pPr>
      <w:r>
        <w:rPr>
          <w:b/>
        </w:rPr>
        <w:t>cash shortage → constrained staffing → constrained production → foregone sales → continued cash shortage</w:t>
      </w:r>
    </w:p>
    <w:p>
      <w:pPr>
        <w:pStyle w:val="Heading1"/>
      </w:pPr>
      <w:r>
        <w:t>24. What Capital Changes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Before capitalization</w:t>
            </w:r>
          </w:p>
        </w:tc>
        <w:tc>
          <w:tcPr>
            <w:tcW w:type="dxa" w:w="5083"/>
            <w:shd w:fill="D9E2F3"/>
          </w:tcPr>
          <w:p>
            <w:r>
              <w:rPr>
                <w:b/>
                <w:sz w:val="17"/>
              </w:rPr>
              <w:t>After capitalization</w:t>
            </w:r>
          </w:p>
        </w:tc>
      </w:tr>
      <w:tr>
        <w:tc>
          <w:tcPr>
            <w:tcW w:type="dxa" w:w="5083"/>
            <w:vAlign w:val="center"/>
          </w:tcPr>
          <w:p>
            <w:r>
              <w:rPr>
                <w:sz w:val="17"/>
              </w:rPr>
              <w:t>Owners absorb excess labor</w:t>
            </w:r>
          </w:p>
        </w:tc>
        <w:tc>
          <w:tcPr>
            <w:tcW w:type="dxa" w:w="5083"/>
            <w:vAlign w:val="center"/>
          </w:tcPr>
          <w:p>
            <w:r>
              <w:rPr>
                <w:sz w:val="17"/>
              </w:rPr>
              <w:t>Paid labor added in stages</w:t>
            </w:r>
          </w:p>
        </w:tc>
      </w:tr>
      <w:tr>
        <w:tc>
          <w:tcPr>
            <w:tcW w:type="dxa" w:w="5083"/>
            <w:vAlign w:val="center"/>
          </w:tcPr>
          <w:p>
            <w:r>
              <w:rPr>
                <w:sz w:val="17"/>
              </w:rPr>
              <w:t>Founder compensation deferred</w:t>
            </w:r>
          </w:p>
        </w:tc>
        <w:tc>
          <w:tcPr>
            <w:tcW w:type="dxa" w:w="5083"/>
            <w:vAlign w:val="center"/>
          </w:tcPr>
          <w:p>
            <w:r>
              <w:rPr>
                <w:sz w:val="17"/>
              </w:rPr>
              <w:t>Current founder salaries become payable at durable scale</w:t>
            </w:r>
          </w:p>
        </w:tc>
      </w:tr>
      <w:tr>
        <w:tc>
          <w:tcPr>
            <w:tcW w:type="dxa" w:w="5083"/>
            <w:vAlign w:val="center"/>
          </w:tcPr>
          <w:p>
            <w:r>
              <w:rPr>
                <w:sz w:val="17"/>
              </w:rPr>
              <w:t>Purchasing creates liquidity pressure</w:t>
            </w:r>
          </w:p>
        </w:tc>
        <w:tc>
          <w:tcPr>
            <w:tcW w:type="dxa" w:w="5083"/>
            <w:vAlign w:val="center"/>
          </w:tcPr>
          <w:p>
            <w:r>
              <w:rPr>
                <w:sz w:val="17"/>
              </w:rPr>
              <w:t>Normal inventory can be carried</w:t>
            </w:r>
          </w:p>
        </w:tc>
      </w:tr>
      <w:tr>
        <w:tc>
          <w:tcPr>
            <w:tcW w:type="dxa" w:w="5083"/>
            <w:vAlign w:val="center"/>
          </w:tcPr>
          <w:p>
            <w:r>
              <w:rPr>
                <w:sz w:val="17"/>
              </w:rPr>
              <w:t>Sales competes with fulfillment for founder time</w:t>
            </w:r>
          </w:p>
        </w:tc>
        <w:tc>
          <w:tcPr>
            <w:tcW w:type="dxa" w:w="5083"/>
            <w:vAlign w:val="center"/>
          </w:tcPr>
          <w:p>
            <w:r>
              <w:rPr>
                <w:sz w:val="17"/>
              </w:rPr>
              <w:t>Sales process becomes systematic</w:t>
            </w:r>
          </w:p>
        </w:tc>
      </w:tr>
      <w:tr>
        <w:tc>
          <w:tcPr>
            <w:tcW w:type="dxa" w:w="5083"/>
            <w:vAlign w:val="center"/>
          </w:tcPr>
          <w:p>
            <w:r>
              <w:rPr>
                <w:sz w:val="17"/>
              </w:rPr>
              <w:t>Inadequate reserve</w:t>
            </w:r>
          </w:p>
        </w:tc>
        <w:tc>
          <w:tcPr>
            <w:tcW w:type="dxa" w:w="5083"/>
            <w:vAlign w:val="center"/>
          </w:tcPr>
          <w:p>
            <w:r>
              <w:rPr>
                <w:sz w:val="17"/>
              </w:rPr>
              <w:t>Minimum operating cash reserve</w:t>
            </w:r>
          </w:p>
        </w:tc>
      </w:tr>
    </w:tbl>
    <w:p/>
    <w:p>
      <w:pPr>
        <w:pStyle w:val="Heading1"/>
      </w:pPr>
      <w:r>
        <w:t>25. Growth Sequence</w:t>
      </w:r>
    </w:p>
    <w:p>
      <w:pPr>
        <w:pStyle w:val="Heading2"/>
      </w:pPr>
      <w:r>
        <w:t>Phase 1 — Stabilization</w:t>
      </w:r>
    </w:p>
    <w:p>
      <w:pPr>
        <w:pStyle w:val="ListBullet"/>
      </w:pPr>
      <w:r>
        <w:t>Establish reserve and current operating liquidity.</w:t>
      </w:r>
    </w:p>
    <w:p>
      <w:pPr>
        <w:pStyle w:val="ListBullet"/>
      </w:pPr>
      <w:r>
        <w:t>Protect existing recurring revenue.</w:t>
      </w:r>
    </w:p>
    <w:p>
      <w:pPr>
        <w:pStyle w:val="ListBullet"/>
      </w:pPr>
      <w:r>
        <w:t>Normalize Hopkins production workflow.</w:t>
      </w:r>
    </w:p>
    <w:p>
      <w:pPr>
        <w:pStyle w:val="Heading2"/>
      </w:pPr>
      <w:r>
        <w:t>Phase 2 — Capacity</w:t>
      </w:r>
    </w:p>
    <w:p>
      <w:pPr>
        <w:pStyle w:val="ListBullet"/>
      </w:pPr>
      <w:r>
        <w:t>Add labor incrementally against demand and revenue.</w:t>
      </w:r>
    </w:p>
    <w:p>
      <w:pPr>
        <w:pStyle w:val="ListBullet"/>
      </w:pPr>
      <w:r>
        <w:t>Increase batch density and reduce founder bottlenecks.</w:t>
      </w:r>
    </w:p>
    <w:p>
      <w:pPr>
        <w:pStyle w:val="ListBullet"/>
      </w:pPr>
      <w:r>
        <w:t>Improve packaging, logistics, refrigeration, and storage.</w:t>
      </w:r>
    </w:p>
    <w:p>
      <w:pPr>
        <w:pStyle w:val="Heading2"/>
      </w:pPr>
      <w:r>
        <w:t>Phase 3 — Fill capacity</w:t>
      </w:r>
    </w:p>
    <w:p>
      <w:pPr>
        <w:pStyle w:val="ListBullet"/>
      </w:pPr>
      <w:r>
        <w:t>Expand meal subscriptions and wholesale.</w:t>
      </w:r>
    </w:p>
    <w:p>
      <w:pPr>
        <w:pStyle w:val="ListBullet"/>
      </w:pPr>
      <w:r>
        <w:t>Systematize reorders and re-engagement.</w:t>
      </w:r>
    </w:p>
    <w:p>
      <w:pPr>
        <w:pStyle w:val="ListBullet"/>
      </w:pPr>
      <w:r>
        <w:t>Use selective events for high-value incremental revenue.</w:t>
      </w:r>
    </w:p>
    <w:p>
      <w:pPr>
        <w:pStyle w:val="Heading2"/>
      </w:pPr>
      <w:r>
        <w:t>Phase 4 — Scale products</w:t>
      </w:r>
    </w:p>
    <w:p>
      <w:pPr>
        <w:pStyle w:val="ListBullet"/>
      </w:pPr>
      <w:r>
        <w:t>Frozen pizza, retail, internet ordering, and contract production where licensing and economics support them.</w:t>
      </w:r>
    </w:p>
    <w:p>
      <w:pPr>
        <w:pStyle w:val="Heading1"/>
      </w:pPr>
      <w:r>
        <w:t>26. Capital Release Against Revenue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sz w:val="17"/>
              </w:rPr>
              <w:t>Monthly revenue band</w:t>
            </w:r>
          </w:p>
        </w:tc>
        <w:tc>
          <w:tcPr>
            <w:tcW w:type="dxa" w:w="5083"/>
            <w:shd w:fill="D9E2F3"/>
          </w:tcPr>
          <w:p>
            <w:r>
              <w:rPr>
                <w:b/>
                <w:sz w:val="17"/>
              </w:rPr>
              <w:t>Primary response</w:t>
            </w:r>
          </w:p>
        </w:tc>
      </w:tr>
      <w:tr>
        <w:tc>
          <w:tcPr>
            <w:tcW w:type="dxa" w:w="5083"/>
            <w:vAlign w:val="center"/>
          </w:tcPr>
          <w:p>
            <w:r>
              <w:rPr>
                <w:sz w:val="17"/>
              </w:rPr>
              <w:t>Below $15k</w:t>
            </w:r>
          </w:p>
        </w:tc>
        <w:tc>
          <w:tcPr>
            <w:tcW w:type="dxa" w:w="5083"/>
            <w:vAlign w:val="center"/>
          </w:tcPr>
          <w:p>
            <w:r>
              <w:rPr>
                <w:sz w:val="17"/>
              </w:rPr>
              <w:t>Preserve cash; stabilize operations; fill existing capacity.</w:t>
            </w:r>
          </w:p>
        </w:tc>
      </w:tr>
      <w:tr>
        <w:tc>
          <w:tcPr>
            <w:tcW w:type="dxa" w:w="5083"/>
            <w:vAlign w:val="center"/>
          </w:tcPr>
          <w:p>
            <w:r>
              <w:rPr>
                <w:sz w:val="17"/>
              </w:rPr>
              <w:t>$15k–$25k</w:t>
            </w:r>
          </w:p>
        </w:tc>
        <w:tc>
          <w:tcPr>
            <w:tcW w:type="dxa" w:w="5083"/>
            <w:vAlign w:val="center"/>
          </w:tcPr>
          <w:p>
            <w:r>
              <w:rPr>
                <w:sz w:val="17"/>
              </w:rPr>
              <w:t>Add junior production labor selectively; improve fulfillment; expand recurring accounts.</w:t>
            </w:r>
          </w:p>
        </w:tc>
      </w:tr>
      <w:tr>
        <w:tc>
          <w:tcPr>
            <w:tcW w:type="dxa" w:w="5083"/>
            <w:vAlign w:val="center"/>
          </w:tcPr>
          <w:p>
            <w:r>
              <w:rPr>
                <w:sz w:val="17"/>
              </w:rPr>
              <w:t>$25k–$35k</w:t>
            </w:r>
          </w:p>
        </w:tc>
        <w:tc>
          <w:tcPr>
            <w:tcW w:type="dxa" w:w="5083"/>
            <w:vAlign w:val="center"/>
          </w:tcPr>
          <w:p>
            <w:r>
              <w:rPr>
                <w:sz w:val="17"/>
              </w:rPr>
              <w:t>Prepare current founder salary normalization; add production capacity only where justified.</w:t>
            </w:r>
          </w:p>
        </w:tc>
      </w:tr>
      <w:tr>
        <w:tc>
          <w:tcPr>
            <w:tcW w:type="dxa" w:w="5083"/>
            <w:vAlign w:val="center"/>
          </w:tcPr>
          <w:p>
            <w:r>
              <w:rPr>
                <w:sz w:val="17"/>
              </w:rPr>
              <w:t>$32k–$35k sustained</w:t>
            </w:r>
          </w:p>
        </w:tc>
        <w:tc>
          <w:tcPr>
            <w:tcW w:type="dxa" w:w="5083"/>
            <w:vAlign w:val="center"/>
          </w:tcPr>
          <w:p>
            <w:r>
              <w:rPr>
                <w:sz w:val="17"/>
              </w:rPr>
              <w:t>Potential full current founder salaries if liquidity and forward-demand tests are met.</w:t>
            </w:r>
          </w:p>
        </w:tc>
      </w:tr>
      <w:tr>
        <w:tc>
          <w:tcPr>
            <w:tcW w:type="dxa" w:w="5083"/>
            <w:vAlign w:val="center"/>
          </w:tcPr>
          <w:p>
            <w:r>
              <w:rPr>
                <w:sz w:val="17"/>
              </w:rPr>
              <w:t>$35k–$40k</w:t>
            </w:r>
          </w:p>
        </w:tc>
        <w:tc>
          <w:tcPr>
            <w:tcW w:type="dxa" w:w="5083"/>
            <w:vAlign w:val="center"/>
          </w:tcPr>
          <w:p>
            <w:r>
              <w:rPr>
                <w:sz w:val="17"/>
              </w:rPr>
              <w:t>Normalized operating zone with founders + meaningful paid production labor under the 35% target.</w:t>
            </w:r>
          </w:p>
        </w:tc>
      </w:tr>
      <w:tr>
        <w:tc>
          <w:tcPr>
            <w:tcW w:type="dxa" w:w="5083"/>
            <w:vAlign w:val="center"/>
          </w:tcPr>
          <w:p>
            <w:r>
              <w:rPr>
                <w:sz w:val="17"/>
              </w:rPr>
              <w:t>Above $40k</w:t>
            </w:r>
          </w:p>
        </w:tc>
        <w:tc>
          <w:tcPr>
            <w:tcW w:type="dxa" w:w="5083"/>
            <w:vAlign w:val="center"/>
          </w:tcPr>
          <w:p>
            <w:r>
              <w:rPr>
                <w:sz w:val="17"/>
              </w:rPr>
              <w:t>Consider structured back-pay settlement after reserve and ordinary liabilities are current.</w:t>
            </w:r>
          </w:p>
        </w:tc>
      </w:tr>
    </w:tbl>
    <w:p/>
    <w:p>
      <w:pPr>
        <w:pStyle w:val="Heading1"/>
      </w:pPr>
      <w:r>
        <w:t>27. Sales Compensation Constraint</w:t>
      </w:r>
    </w:p>
    <w:p>
      <w:r>
        <w:t>A perpetual 12% commission on a large share of revenue is incompatible with a 35% total-labor ceiling once founders and production staff are paid at normalized levels. Sales compensation should therefore be temporary CAC, first-order/new-account commission, declining commission, or a fixed role supported by higher revenue.</w:t>
      </w:r>
    </w:p>
    <w:p>
      <w:pPr>
        <w:pStyle w:val="Heading1"/>
      </w:pPr>
      <w:r>
        <w:t>28. Local and Economic Impact</w:t>
      </w:r>
    </w:p>
    <w:p>
      <w:pPr>
        <w:pStyle w:val="ListBullet"/>
      </w:pPr>
      <w:r>
        <w:t>Regional procurement and local-first sourcing.</w:t>
      </w:r>
    </w:p>
    <w:p>
      <w:pPr>
        <w:pStyle w:val="ListBullet"/>
      </w:pPr>
      <w:r>
        <w:t>Conversion of founder-dependent production into stable paid kitchen work.</w:t>
      </w:r>
    </w:p>
    <w:p>
      <w:pPr>
        <w:pStyle w:val="ListBullet"/>
      </w:pPr>
      <w:r>
        <w:t>Shared-ownership framework under Minnesota Chapter 308B.</w:t>
      </w:r>
    </w:p>
    <w:p>
      <w:pPr>
        <w:pStyle w:val="ListBullet"/>
      </w:pPr>
      <w:r>
        <w:t>Majority-women ownership.</w:t>
      </w:r>
    </w:p>
    <w:p>
      <w:pPr>
        <w:pStyle w:val="ListBullet"/>
      </w:pPr>
      <w:r>
        <w:t>Hopkins-based production and economic activity.</w:t>
      </w:r>
    </w:p>
    <w:p>
      <w:pPr>
        <w:pStyle w:val="Heading1"/>
      </w:pPr>
      <w:r>
        <w:t>29. Risks</w:t>
      </w:r>
    </w:p>
    <w:p>
      <w:r>
        <w:rPr>
          <w:b/>
        </w:rPr>
        <w:t xml:space="preserve">Current scale: </w:t>
      </w:r>
      <w:r>
        <w:t>The raise is large relative to recent monthly revenue; deployment must be staged.</w:t>
      </w:r>
    </w:p>
    <w:p>
      <w:r>
        <w:rPr>
          <w:b/>
        </w:rPr>
        <w:t xml:space="preserve">Founder dependence: </w:t>
      </w:r>
      <w:r>
        <w:t>Production, sales, and management remain founder-heavy.</w:t>
      </w:r>
    </w:p>
    <w:p>
      <w:r>
        <w:rPr>
          <w:b/>
        </w:rPr>
        <w:t xml:space="preserve">Deferred compensation: </w:t>
      </w:r>
      <w:r>
        <w:t>Back pay should not be repaid ahead of operational stabilization and reserve.</w:t>
      </w:r>
    </w:p>
    <w:p>
      <w:r>
        <w:rPr>
          <w:b/>
        </w:rPr>
        <w:t xml:space="preserve">Business-line complexity: </w:t>
      </w:r>
      <w:r>
        <w:t>Three lines share infrastructure but require line-level contribution measurement.</w:t>
      </w:r>
    </w:p>
    <w:p>
      <w:r>
        <w:rPr>
          <w:b/>
        </w:rPr>
        <w:t xml:space="preserve">Wholesale working capital: </w:t>
      </w:r>
      <w:r>
        <w:t>Receivable timing and delivery costs can consume cash before collection.</w:t>
      </w:r>
    </w:p>
    <w:p>
      <w:r>
        <w:rPr>
          <w:b/>
        </w:rPr>
        <w:t xml:space="preserve">Event volatility: </w:t>
      </w:r>
      <w:r>
        <w:t>Events are irregular; recurring meal and wholesale revenue are stabilizers.</w:t>
      </w:r>
    </w:p>
    <w:p>
      <w:r>
        <w:rPr>
          <w:b/>
        </w:rPr>
        <w:t xml:space="preserve">Manufacturing regulation: </w:t>
      </w:r>
      <w:r>
        <w:t>Packaged-food expansion may increase licensing complexity.</w:t>
      </w:r>
    </w:p>
    <w:p>
      <w:r>
        <w:rPr>
          <w:b/>
        </w:rPr>
        <w:t xml:space="preserve">Wefunder redemption: </w:t>
      </w:r>
      <w:r>
        <w:t>A cumulative 6% obligation creates a future cash claim that must be modeled separately.</w:t>
      </w:r>
    </w:p>
    <w:p>
      <w:pPr>
        <w:pStyle w:val="Heading1"/>
      </w:pPr>
      <w:r>
        <w:t>30. Short Financing Narrative</w:t>
      </w:r>
    </w:p>
    <w:p>
      <w:r>
        <w:t>Local Effort Cooperative is an operating Minnesota food company organized under Chapter 308B. The business earns revenue through weekly household meal service, private dinners and events, and partner wholesale production.</w:t>
      </w:r>
    </w:p>
    <w:p>
      <w:r>
        <w:t xml:space="preserve">During the first half of 2026, Local Effort recorded $54,051.00 in operating revenue, averaging $9,008.50 per month, with Q2 averaging $9,748.56 per month. The company moved production to Hopkins effective August 1 at $25/hour plus $350 in combined monthly fees and storage, materially lowering facility cost at its current 80–100 hours of monthly kitchen use.</w:t>
      </w:r>
    </w:p>
    <w:p>
      <w:r>
        <w:t>The company is preparing a $65,000 community raise to establish operating reserves, add labor in stages, improve production and logistics, support inventory and packaging, and build a systematic sales process. The near-term normalized operating target is approximately $35,000–$40,000 in monthly revenue, at which the company can support both founders at $45,000 annual salaries plus meaningful paid production labor while maintaining total labor near or below 35% of revenue.</w:t>
      </w:r>
    </w:p>
    <w:p>
      <w:pPr>
        <w:pStyle w:val="Heading1"/>
      </w:pPr>
      <w:r>
        <w:t>31. One-Sentence Financing Narrative</w:t>
      </w:r>
    </w:p>
    <w:p>
      <w:r>
        <w:t>Local Effort is raising $65,000 to convert a demonstrated but undercapitalized Twin Cities food operation into a stable recurring-revenue cooperative capable of supporting paid production labor, current founder salaries, and continued growth from a lower-cost Hopkins production base.</w:t>
      </w:r>
    </w:p>
    <w:p>
      <w:pPr>
        <w:pStyle w:val="Heading1"/>
      </w:pPr>
      <w:r>
        <w:t>32. Standard Application Answer Bank</w:t>
      </w:r>
    </w:p>
    <w:p>
      <w:r>
        <w:rPr>
          <w:b/>
        </w:rPr>
        <w:t>What does Local Effort do?</w:t>
      </w:r>
    </w:p>
    <w:p>
      <w:r>
        <w:t>Local Effort Cooperative is a Twin Cities food company operating weekly household meal service, private dinners and events, and wholesale prepared-food production, with an emphasis on Minnesota and Midwest ingredients.</w:t>
      </w:r>
    </w:p>
    <w:p>
      <w:r>
        <w:rPr>
          <w:b/>
        </w:rPr>
        <w:t>Why does the business need capital?</w:t>
      </w:r>
    </w:p>
    <w:p>
      <w:r>
        <w:t>Current growth is constrained by working capital and production capacity. Ingredients, packaging, kitchen time, payroll, delivery, and sales activity require cash before all associated revenue is collected.</w:t>
      </w:r>
    </w:p>
    <w:p>
      <w:r>
        <w:rPr>
          <w:b/>
        </w:rPr>
        <w:t>How will capital increase revenue?</w:t>
      </w:r>
    </w:p>
    <w:p>
      <w:r>
        <w:t>Capital allows Local Effort to add labor in stages, improve production density, carry normal inventory, expand recurring meal and wholesale accounts, and systematically manage sales and reorders.</w:t>
      </w:r>
    </w:p>
    <w:p>
      <w:r>
        <w:rPr>
          <w:b/>
        </w:rPr>
        <w:t>Why a cooperative?</w:t>
      </w:r>
    </w:p>
    <w:p>
      <w:r>
        <w:t>The structure allows employees and other stakeholders to participate economically without making outside capital synonymous with operating control.</w:t>
      </w:r>
    </w:p>
    <w:p>
      <w:r>
        <w:rPr>
          <w:b/>
        </w:rPr>
        <w:t>Why now?</w:t>
      </w:r>
    </w:p>
    <w:p>
      <w:r>
        <w:t>The company has operating history, established customers, demonstrated transactions across its principal lines, a lower-cost Hopkins production base, and internal operating/data infrastructure. The remaining constraint is capitalization and execution capacity.</w:t>
      </w:r>
    </w:p>
    <w:p>
      <w:pPr>
        <w:pStyle w:val="Heading1"/>
      </w:pPr>
      <w:r>
        <w:t>33. Required Capital Data Room</w:t>
      </w:r>
    </w:p>
    <w:p>
      <w:pPr>
        <w:pStyle w:val="Heading2"/>
      </w:pPr>
      <w:r>
        <w:t>Organizational</w:t>
      </w:r>
    </w:p>
    <w:p>
      <w:pPr>
        <w:pStyle w:val="ListBullet"/>
      </w:pPr>
      <w:r>
        <w:t>Articles and bylaws</w:t>
      </w:r>
    </w:p>
    <w:p>
      <w:pPr>
        <w:pStyle w:val="ListBullet"/>
      </w:pPr>
      <w:r>
        <w:t>EIN confirmation</w:t>
      </w:r>
    </w:p>
    <w:p>
      <w:pPr>
        <w:pStyle w:val="ListBullet"/>
      </w:pPr>
      <w:r>
        <w:t>Minnesota good-standing documentation</w:t>
      </w:r>
    </w:p>
    <w:p>
      <w:pPr>
        <w:pStyle w:val="ListBullet"/>
      </w:pPr>
      <w:r>
        <w:t>Accepted cap table and ownership/member ledger</w:t>
      </w:r>
    </w:p>
    <w:p>
      <w:pPr>
        <w:pStyle w:val="ListBullet"/>
      </w:pPr>
      <w:r>
        <w:t>Voting-rights schedule and board roster</w:t>
      </w:r>
    </w:p>
    <w:p>
      <w:pPr>
        <w:pStyle w:val="ListBullet"/>
      </w:pPr>
      <w:r>
        <w:t>Equity/securities documents</w:t>
      </w:r>
    </w:p>
    <w:p>
      <w:pPr>
        <w:pStyle w:val="Heading2"/>
      </w:pPr>
      <w:r>
        <w:t>Financial</w:t>
      </w:r>
    </w:p>
    <w:p>
      <w:pPr>
        <w:pStyle w:val="ListBullet"/>
      </w:pPr>
      <w:r>
        <w:t>2023–2025 tax returns / P&amp;Ls</w:t>
      </w:r>
    </w:p>
    <w:p>
      <w:pPr>
        <w:pStyle w:val="ListBullet"/>
      </w:pPr>
      <w:r>
        <w:t>2026 YTD P&amp;L</w:t>
      </w:r>
    </w:p>
    <w:p>
      <w:pPr>
        <w:pStyle w:val="ListBullet"/>
      </w:pPr>
      <w:r>
        <w:t>Monthly 2025–2026 P&amp;L</w:t>
      </w:r>
    </w:p>
    <w:p>
      <w:pPr>
        <w:pStyle w:val="ListBullet"/>
      </w:pPr>
      <w:r>
        <w:t>Current balance sheet and cash</w:t>
      </w:r>
    </w:p>
    <w:p>
      <w:pPr>
        <w:pStyle w:val="ListBullet"/>
      </w:pPr>
      <w:r>
        <w:t>Bank statements</w:t>
      </w:r>
    </w:p>
    <w:p>
      <w:pPr>
        <w:pStyle w:val="ListBullet"/>
      </w:pPr>
      <w:r>
        <w:t>A/R and A/P</w:t>
      </w:r>
    </w:p>
    <w:p>
      <w:pPr>
        <w:pStyle w:val="ListBullet"/>
      </w:pPr>
      <w:r>
        <w:t>Debt schedule and tax liabilities</w:t>
      </w:r>
    </w:p>
    <w:p>
      <w:pPr>
        <w:pStyle w:val="ListBullet"/>
      </w:pPr>
      <w:r>
        <w:t>Square Capital statement</w:t>
      </w:r>
    </w:p>
    <w:p>
      <w:pPr>
        <w:pStyle w:val="ListBullet"/>
      </w:pPr>
      <w:r>
        <w:t xml:space="preserve">Founder deferred-compensation schedule, Local Budget PERSONAL candidate offsets, and final owner/accountant draw reconciliation</w:t>
      </w:r>
    </w:p>
    <w:p>
      <w:pPr>
        <w:pStyle w:val="ListBullet"/>
      </w:pPr>
      <w:r>
        <w:t>Square exports and Local Budget actuals</w:t>
      </w:r>
    </w:p>
    <w:p>
      <w:pPr>
        <w:pStyle w:val="Heading2"/>
      </w:pPr>
      <w:r>
        <w:t>Operations</w:t>
      </w:r>
    </w:p>
    <w:p>
      <w:pPr>
        <w:pStyle w:val="ListBullet"/>
      </w:pPr>
      <w:r>
        <w:t>Hopkins kitchen agreement</w:t>
      </w:r>
    </w:p>
    <w:p>
      <w:pPr>
        <w:pStyle w:val="ListBullet"/>
      </w:pPr>
      <w:r>
        <w:t>Licenses and insurance</w:t>
      </w:r>
    </w:p>
    <w:p>
      <w:pPr>
        <w:pStyle w:val="ListBullet"/>
      </w:pPr>
      <w:r>
        <w:t>Equipment list</w:t>
      </w:r>
    </w:p>
    <w:p>
      <w:pPr>
        <w:pStyle w:val="ListBullet"/>
      </w:pPr>
      <w:r>
        <w:t>Staff/payroll records</w:t>
      </w:r>
    </w:p>
    <w:p>
      <w:pPr>
        <w:pStyle w:val="ListBullet"/>
      </w:pPr>
      <w:r>
        <w:t>Key customer contracts/invoices</w:t>
      </w:r>
    </w:p>
    <w:p>
      <w:pPr>
        <w:pStyle w:val="ListBullet"/>
      </w:pPr>
      <w:r>
        <w:t>Supplier records</w:t>
      </w:r>
    </w:p>
    <w:p>
      <w:pPr>
        <w:pStyle w:val="ListBullet"/>
      </w:pPr>
      <w:r>
        <w:t>Production capacity and sales pipeline</w:t>
      </w:r>
    </w:p>
    <w:p>
      <w:pPr>
        <w:pStyle w:val="Heading2"/>
      </w:pPr>
      <w:r>
        <w:t>Raise</w:t>
      </w:r>
    </w:p>
    <w:p>
      <w:pPr>
        <w:pStyle w:val="ListBullet"/>
      </w:pPr>
      <w:r>
        <w:t>Wefunder instrument</w:t>
      </w:r>
    </w:p>
    <w:p>
      <w:pPr>
        <w:pStyle w:val="ListBullet"/>
      </w:pPr>
      <w:r>
        <w:t>Form C</w:t>
      </w:r>
    </w:p>
    <w:p>
      <w:pPr>
        <w:pStyle w:val="ListBullet"/>
      </w:pPr>
      <w:r>
        <w:t>Offering disclosures</w:t>
      </w:r>
    </w:p>
    <w:p>
      <w:pPr>
        <w:pStyle w:val="ListBullet"/>
      </w:pPr>
      <w:r>
        <w:t>Final sources and uses</w:t>
      </w:r>
    </w:p>
    <w:p>
      <w:pPr>
        <w:pStyle w:val="ListBullet"/>
      </w:pPr>
      <w:r>
        <w:t>12-month monthly forecast</w:t>
      </w:r>
    </w:p>
    <w:p>
      <w:pPr>
        <w:pStyle w:val="ListBullet"/>
      </w:pPr>
      <w:r>
        <w:t>Downside/base/upside cases</w:t>
      </w:r>
    </w:p>
    <w:p>
      <w:pPr>
        <w:pStyle w:val="ListBullet"/>
      </w:pPr>
      <w:r>
        <w:t>Investor communications archive</w:t>
      </w:r>
    </w:p>
    <w:p>
      <w:pPr>
        <w:pStyle w:val="ListBullet"/>
      </w:pPr>
      <w:r>
        <w:t>Securities counsel and accountant review</w:t>
      </w:r>
    </w:p>
    <w:p>
      <w:pPr>
        <w:pStyle w:val="Heading1"/>
      </w:pPr>
      <w:r>
        <w:t>34. Remaining Material Diligence Gaps</w:t>
      </w:r>
    </w:p>
    <w:p>
      <w:pPr>
        <w:pStyle w:val="ListNumber"/>
      </w:pPr>
      <w:r>
        <w:t>Current unrestricted business cash.</w:t>
      </w:r>
    </w:p>
    <w:p>
      <w:pPr>
        <w:pStyle w:val="ListNumber"/>
      </w:pPr>
      <w:r>
        <w:t xml:space="preserve">Fresh August-to-date cash actuals after the August 13 source maximum.</w:t>
      </w:r>
    </w:p>
    <w:p>
      <w:pPr>
        <w:pStyle w:val="ListNumber"/>
      </w:pPr>
      <w:r>
        <w:t>Current Square Capital payoff balance.</w:t>
      </w:r>
    </w:p>
    <w:p>
      <w:pPr>
        <w:pStyle w:val="ListNumber"/>
      </w:pPr>
      <w:r>
        <w:t>Complete debt schedule, including arrears, rates, payments, security, and maturity.</w:t>
      </w:r>
    </w:p>
    <w:p>
      <w:pPr>
        <w:pStyle w:val="ListNumber"/>
      </w:pPr>
      <w:r>
        <w:t>Accounts payable and aging.</w:t>
      </w:r>
    </w:p>
    <w:p>
      <w:pPr>
        <w:pStyle w:val="ListNumber"/>
      </w:pPr>
      <w:r>
        <w:t>Accounts receivable and aging.</w:t>
      </w:r>
    </w:p>
    <w:p>
      <w:pPr>
        <w:pStyle w:val="ListNumber"/>
      </w:pPr>
      <w:r>
        <w:t>Tax liabilities and current status.</w:t>
      </w:r>
    </w:p>
    <w:p>
      <w:pPr>
        <w:pStyle w:val="ListNumber"/>
      </w:pPr>
      <w:r>
        <w:rPr>
          <w:sz w:val="19"/>
        </w:rPr>
        <w:t xml:space="preserve">Final founder deferred-compensation reconciliation: $8,755.64 of Local Budget PERSONAL candidate offsets through July 31, $8,872.85 through August 13, and an unresolved $22.15 difference from the prior approximately $8,895 owner recollection.</w:t>
      </w:r>
    </w:p>
    <w:p>
      <w:pPr>
        <w:pStyle w:val="ListNumber"/>
      </w:pPr>
      <w:r>
        <w:t xml:space="preserve">Executed Hopkins agreement corroborating the owner-confirmed $25/hour rate, $150 monthly fees, $200 monthly storage, and August 1 effective date.</w:t>
      </w:r>
    </w:p>
    <w:p>
      <w:pPr>
        <w:pStyle w:val="ListNumber"/>
      </w:pPr>
      <w:r>
        <w:t>Quote-backed final $65,000 sources and uses.</w:t>
      </w:r>
    </w:p>
    <w:p>
      <w:pPr>
        <w:pStyle w:val="ListNumber"/>
      </w:pPr>
      <w:r>
        <w:t>Final Wefunder instrument and legal terms.</w:t>
      </w:r>
    </w:p>
    <w:p>
      <w:pPr>
        <w:pStyle w:val="ListNumber"/>
      </w:pPr>
      <w:r>
        <w:t>12-month monthly cash-flow model using the updated $90,000 founder-compensation policy and Hopkins facility economics.</w:t>
      </w:r>
    </w:p>
    <w:p>
      <w:pPr>
        <w:pStyle w:val="Heading1"/>
      </w:pPr>
      <w:r>
        <w:t>35. Most Important Next Financial Artifact</w:t>
      </w:r>
    </w:p>
    <w:p>
      <w:r>
        <w:t>The next authoritative artifact should be a 13-month capital cash model beginning with current unrestricted cash and using the updated operating facts in this record.</w:t>
      </w:r>
    </w:p>
    <w:p>
      <w:pPr>
        <w:pStyle w:val="ListBullet"/>
      </w:pPr>
      <w:r>
        <w:t>Monthly operating revenue by line.</w:t>
      </w:r>
    </w:p>
    <w:p>
      <w:pPr>
        <w:pStyle w:val="ListBullet"/>
      </w:pPr>
      <w:r>
        <w:t>Food / ingredients at approximately 27% forward planning cost, reconciled to actuals.</w:t>
      </w:r>
    </w:p>
    <w:p>
      <w:pPr>
        <w:pStyle w:val="ListBullet"/>
      </w:pPr>
      <w:r>
        <w:t>Paid labor with a 35% ceiling and explicit founder-salary gates.</w:t>
      </w:r>
    </w:p>
    <w:p>
      <w:pPr>
        <w:pStyle w:val="ListBullet"/>
      </w:pPr>
      <w:r>
        <w:t xml:space="preserve">Hopkins kitchen cost at $25/hour plus $150 monthly fees and $200 monthly storage, using 80–100 hours/month unless newer actual usage supersedes it.</w:t>
      </w:r>
    </w:p>
    <w:p>
      <w:pPr>
        <w:pStyle w:val="ListBullet"/>
      </w:pPr>
      <w:r>
        <w:t>Packaging, delivery, fixed operating expenses, debt service, and working-capital movements.</w:t>
      </w:r>
    </w:p>
    <w:p>
      <w:pPr>
        <w:pStyle w:val="ListBullet"/>
      </w:pPr>
      <w:r>
        <w:t>Wefunder proceeds and optional MCCD proceeds.</w:t>
      </w:r>
    </w:p>
    <w:p>
      <w:pPr>
        <w:pStyle w:val="ListBullet"/>
      </w:pPr>
      <w:r>
        <w:t>Downside, base, and upside cases.</w:t>
      </w:r>
    </w:p>
    <w:p>
      <w:pPr>
        <w:pStyle w:val="ListBullet"/>
      </w:pPr>
      <w:r>
        <w:t>Minimum cash point, cash breakeven, hiring triggers, reserve floor, and Wefunder redemption burden.</w:t>
      </w:r>
    </w:p>
    <w:p>
      <w:pPr>
        <w:pStyle w:val="Heading1"/>
        <w:keepNext/>
      </w:pPr>
      <w:r>
        <w:t>36. Current Capital Thesis</w:t>
      </w:r>
    </w:p>
    <w:p>
      <w:r>
        <w:t>Local Effort's financing argument is not that capital can invent demand. It is that an operating business has reached the point where inadequate working capital and paid production capacity interfere with its ability to turn existing demand into stable revenue.</w:t>
      </w:r>
    </w:p>
    <w:p>
      <w:r>
        <w:t>With founder compensation corrected to $45,000 + $45,000 and the lower-cost Hopkins kitchen in place, approximately $35,000–$40,000/month is the first normalized operating band: high enough to support both founders at current salaries plus meaningful paid production labor while holding total labor around or below 35%.</w:t>
      </w:r>
    </w:p>
    <w:p>
      <w:r>
        <w:t>The $65,000 Wefunder round should therefore be evaluated as transition capital toward that normalized band, with MCCD or other lower-cost capital used selectively for additional productive capacity rather than to satisfy an arbitrary total capitalization target.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Effort Cooperative — Capital Master Record v2.2 — August 14,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