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Introduction to Financial Accounting</w:t>
      </w:r>
    </w:p>
    <w:p>
      <w:pPr>
        <w:spacing w:after="60"/>
      </w:pPr>
      <w:r>
        <w:rPr>
          <w:i/>
          <w:iCs/>
          <w:color w:val="595959"/>
          <w:sz w:val="22"/>
          <w:szCs w:val="22"/>
        </w:rPr>
        <w:t xml:space="preserve">Topics: Introduction to Financial Accounting; Overview of the Key Financial Statements</w:t>
      </w:r>
    </w:p>
    <w:p>
      <w:pPr>
        <w:spacing w:after="160"/>
      </w:pPr>
      <w:r>
        <w:rPr>
          <w:b/>
          <w:bCs/>
          <w:color w:val="BF8F00"/>
          <w:sz w:val="24"/>
          <w:szCs w:val="24"/>
        </w:rPr>
        <w:t xml:space="preserve">Accounting is the language of business.</w:t>
      </w:r>
    </w:p>
    <w:p>
      <w:pPr>
        <w:pStyle w:val="Heading2"/>
        <w:spacing w:after="120" w:before="260"/>
      </w:pPr>
      <w:r>
        <w:rPr>
          <w:b/>
          <w:bCs/>
          <w:color w:val="1F3864"/>
          <w:sz w:val="28"/>
          <w:szCs w:val="28"/>
        </w:rPr>
        <w:t xml:space="preserve">Introduction</w:t>
      </w:r>
    </w:p>
    <w:p>
      <w:pPr>
        <w:spacing w:after="120" w:line="276"/>
      </w:pPr>
      <w:r>
        <w:rPr>
          <w:sz w:val="22"/>
          <w:szCs w:val="22"/>
        </w:rPr>
        <w:t xml:space="preserve">The fundamental objective of accounting is to deliver actionable insight into a company's financial health and operating performance. This information underpins the major decisions of a diverse set of stakeholders, each with their own interests:</w:t>
      </w:r>
    </w:p>
    <w:p>
      <w:pPr>
        <w:spacing w:after="120" w:line="276"/>
      </w:pPr>
      <w:r>
        <w:rPr>
          <w:b/>
          <w:bCs/>
          <w:sz w:val="22"/>
          <w:szCs w:val="22"/>
        </w:rPr>
        <w:t xml:space="preserve">Management and Employees: </w:t>
      </w:r>
      <w:r>
        <w:rPr>
          <w:sz w:val="22"/>
          <w:szCs w:val="22"/>
        </w:rPr>
        <w:t xml:space="preserve">they track performance against strategic goals, spot problems, adjust operations, and assess the sustainability of the business. Analyzing sales trends and cost of goods sold, for example, informs pricing and production decisions.</w:t>
      </w:r>
    </w:p>
    <w:p>
      <w:pPr>
        <w:spacing w:after="120" w:line="276"/>
      </w:pPr>
      <w:r>
        <w:rPr>
          <w:b/>
          <w:bCs/>
          <w:sz w:val="22"/>
          <w:szCs w:val="22"/>
        </w:rPr>
        <w:t xml:space="preserve">Investors: </w:t>
      </w:r>
      <w:r>
        <w:rPr>
          <w:sz w:val="22"/>
          <w:szCs w:val="22"/>
        </w:rPr>
        <w:t xml:space="preserve">current and potential investors use financial statements to evaluate profitability, growth prospects, risk, and value before committing capital. An investor might compare the margins and debt levels of two competing tech companies before deciding where to invest.</w:t>
      </w:r>
    </w:p>
    <w:p>
      <w:pPr>
        <w:spacing w:after="120" w:line="276"/>
      </w:pPr>
      <w:r>
        <w:rPr>
          <w:b/>
          <w:bCs/>
          <w:sz w:val="22"/>
          <w:szCs w:val="22"/>
        </w:rPr>
        <w:t xml:space="preserve">Business and Financial Partners: </w:t>
      </w:r>
      <w:r>
        <w:rPr>
          <w:sz w:val="22"/>
          <w:szCs w:val="22"/>
        </w:rPr>
        <w:t xml:space="preserve">suppliers, customers, and lenders assess creditworthiness and the ability to meet obligations. A supplier may check a customer's balance sheet for enough liquidity to pay for large orders; lenders extend credit only when they expect repayment.</w:t>
      </w:r>
    </w:p>
    <w:p>
      <w:pPr>
        <w:spacing w:after="120" w:line="276"/>
      </w:pPr>
      <w:r>
        <w:rPr>
          <w:b/>
          <w:bCs/>
          <w:sz w:val="22"/>
          <w:szCs w:val="22"/>
        </w:rPr>
        <w:t xml:space="preserve">Regulators: </w:t>
      </w:r>
      <w:r>
        <w:rPr>
          <w:sz w:val="22"/>
          <w:szCs w:val="22"/>
        </w:rPr>
        <w:t xml:space="preserve">agencies such as the SEC require reporting to ensure transparency, prevent fraud, and protect investors. Compliance is a condition of access to capital markets.</w:t>
      </w:r>
    </w:p>
    <w:p>
      <w:pPr>
        <w:spacing w:after="120" w:line="276"/>
      </w:pPr>
      <w:r>
        <w:rPr>
          <w:b/>
          <w:bCs/>
          <w:sz w:val="22"/>
          <w:szCs w:val="22"/>
        </w:rPr>
        <w:t xml:space="preserve">Others: </w:t>
      </w:r>
      <w:r>
        <w:rPr>
          <w:sz w:val="22"/>
          <w:szCs w:val="22"/>
        </w:rPr>
        <w:t xml:space="preserve">analysts who advise investors, the media, unions in wage negotiations, and potential acquirers performing due diligence — and, more recently, content creators and financial influencers.</w:t>
      </w:r>
    </w:p>
    <w:p>
      <w:pPr>
        <w:spacing w:after="120" w:line="276"/>
      </w:pPr>
      <w:r>
        <w:rPr>
          <w:sz w:val="22"/>
          <w:szCs w:val="22"/>
        </w:rPr>
        <w:t xml:space="preserve">Financial accounting is, in essence, business storytelling with numbers, and the same story is read very differently depending on who is reading it. Consider that in October 2025 Nvidia became the first company ever to be worth $5 trillion (about $4.9 trillion by mid-2026): an investor reading its statements is weighing future growth, a lender is checking its ability to repay, a regulator is watching its disclosures, and an employee is judging the company's stability — all from the same set of reports.</w:t>
      </w:r>
    </w:p>
    <w:p>
      <w:pPr>
        <w:pStyle w:val="Heading2"/>
        <w:spacing w:after="120" w:before="260"/>
      </w:pPr>
      <w:r>
        <w:rPr>
          <w:b/>
          <w:bCs/>
          <w:color w:val="1F3864"/>
          <w:sz w:val="28"/>
          <w:szCs w:val="28"/>
        </w:rPr>
        <w:t xml:space="preserve">A Few Clarifications</w:t>
      </w:r>
    </w:p>
    <w:p>
      <w:pPr>
        <w:pStyle w:val="Heading3"/>
        <w:spacing w:after="80" w:before="180"/>
      </w:pPr>
      <w:r>
        <w:rPr>
          <w:b/>
          <w:bCs/>
          <w:color w:val="1F3864"/>
          <w:sz w:val="24"/>
          <w:szCs w:val="24"/>
        </w:rPr>
        <w:t xml:space="preserve">Financial vs. managerial accounting</w:t>
      </w:r>
    </w:p>
    <w:p>
      <w:pPr>
        <w:spacing w:after="120" w:line="276"/>
      </w:pPr>
      <w:r>
        <w:rPr>
          <w:sz w:val="22"/>
          <w:szCs w:val="22"/>
        </w:rPr>
        <w:t xml:space="preserve">Financial accounting prepares standardized reports — the income statement, balance sheet, and cash flow statement — for external parties, following set guidelines. Though aimed at investors, regulators, and creditors, these same statements are essential reading for employees, managers, and the Board. This is the focus of our course.</w:t>
      </w:r>
    </w:p>
    <w:p>
      <w:pPr>
        <w:spacing w:after="120" w:line="276"/>
      </w:pPr>
      <w:r>
        <w:rPr>
          <w:sz w:val="22"/>
          <w:szCs w:val="22"/>
        </w:rPr>
        <w:t xml:space="preserve">Managerial accounting produces customized, usually confidential reports for internal use: cost accounting, sales dashboards, budget-variance analyses. It supports budgeting, decision-making, and performance evaluation. It is a related but distinct discipline, offered as a separate elective.</w:t>
      </w:r>
    </w:p>
    <w:p>
      <w:pPr>
        <w:pStyle w:val="Heading3"/>
        <w:spacing w:after="80" w:before="180"/>
      </w:pPr>
      <w:r>
        <w:rPr>
          <w:b/>
          <w:bCs/>
          <w:color w:val="1F3864"/>
          <w:sz w:val="24"/>
          <w:szCs w:val="24"/>
        </w:rPr>
        <w:t xml:space="preserve">Accounting is not an exact science</w:t>
      </w:r>
    </w:p>
    <w:p>
      <w:pPr>
        <w:spacing w:after="120" w:line="276"/>
      </w:pPr>
      <w:r>
        <w:rPr>
          <w:sz w:val="22"/>
          <w:szCs w:val="22"/>
        </w:rPr>
        <w:t xml:space="preserve">Even though the output is numerical, the figures rest on judgment and estimates that can be subjective — the useful life of machinery, the likelihood of bad debts, and the value of complex derivatives all require assumptions about the future.</w:t>
      </w:r>
    </w:p>
    <w:p>
      <w:pPr>
        <w:spacing w:after="120" w:line="276"/>
      </w:pPr>
      <w:r>
        <w:rPr>
          <w:sz w:val="22"/>
          <w:szCs w:val="22"/>
        </w:rPr>
        <w:t xml:space="preserve">High-quality accounting presents a true and fair view of economic reality: informative about past and current performance, and reliable enough to support forecasts. Poor-quality or biased information misleads — inflating revenue or understating liabilities distorts the picture and can hurt valuations. As informed users, your job is to understand the underlying rules (GAAP or IFRS) well enough to judge the quality of the numbers and, where needed, adjust or reinterpret them.</w:t>
      </w:r>
    </w:p>
    <w:p>
      <w:pPr>
        <w:spacing w:after="120" w:line="276"/>
      </w:pPr>
      <w:r>
        <w:rPr>
          <w:sz w:val="22"/>
          <w:szCs w:val="22"/>
        </w:rPr>
        <w:t xml:space="preserve">Two recent U.S. cases show how much judgment is involved. In 2024, a single Macy's employee concealed roughly $150 million of delivery expenses over about three years, forcing a restatement — a failure of internal controls rather than of the accounting rules themselves. Also in 2024, the SEC charged executives at AMMO, Inc. with changing the method used for a key "Adjusted EBITDA" figure to flip a result from a loss to a small profit without disclosing the change — judgment shading into manipulation. Learning to see the line between a defensible estimate and a misleading one is exactly what informed users must develop.</w:t>
      </w:r>
    </w:p>
    <w:p>
      <w:pPr>
        <w:pStyle w:val="Heading2"/>
        <w:spacing w:after="120" w:before="260"/>
      </w:pPr>
      <w:r>
        <w:rPr>
          <w:b/>
          <w:bCs/>
          <w:color w:val="1F3864"/>
          <w:sz w:val="28"/>
          <w:szCs w:val="28"/>
        </w:rPr>
        <w:t xml:space="preserve">Key Accounting Principles</w:t>
      </w:r>
    </w:p>
    <w:p>
      <w:pPr>
        <w:spacing w:after="120" w:line="276"/>
      </w:pPr>
      <w:r>
        <w:rPr>
          <w:sz w:val="22"/>
          <w:szCs w:val="22"/>
        </w:rPr>
        <w:t xml:space="preserve">These principles form the foundation of financial accounting. We cover them in depth later; here is an initial overview.</w:t>
      </w:r>
    </w:p>
    <w:p>
      <w:pPr>
        <w:spacing w:after="120" w:line="276"/>
      </w:pPr>
      <w:r>
        <w:rPr>
          <w:b/>
          <w:bCs/>
          <w:sz w:val="22"/>
          <w:szCs w:val="22"/>
        </w:rPr>
        <w:t xml:space="preserve">Accrual accounting: </w:t>
      </w:r>
      <w:r>
        <w:rPr>
          <w:sz w:val="22"/>
          <w:szCs w:val="22"/>
        </w:rPr>
        <w:t xml:space="preserve">revenue is recognized when earned and realizable — when the company has substantially done its job and expects payment — regardless of when cash arrives. Expenses are recognized when incurred to generate revenue, not when cash is paid. The timing of cash need not match the timing of revenue and expense. This is the core difference from cash accounting, and all public companies use accrual accounting. Example: a consulting firm that finishes a project in December but is paid in January recognizes the revenue in December.</w:t>
      </w:r>
    </w:p>
    <w:p>
      <w:pPr>
        <w:spacing w:after="120" w:line="276"/>
      </w:pPr>
      <w:r>
        <w:rPr>
          <w:b/>
          <w:bCs/>
          <w:sz w:val="22"/>
          <w:szCs w:val="22"/>
        </w:rPr>
        <w:t xml:space="preserve">Matching principle: </w:t>
      </w:r>
      <w:r>
        <w:rPr>
          <w:sz w:val="22"/>
          <w:szCs w:val="22"/>
        </w:rPr>
        <w:t xml:space="preserve">expenses are reported in the same period as the revenues they helped generate. A sales commission is recognized when the related contract is in effect, not when the salesperson is paid; the cost of raw materials is recognized when the goods are sold (as part of COGS), not when the materials were bought.</w:t>
      </w:r>
    </w:p>
    <w:p>
      <w:pPr>
        <w:spacing w:after="120" w:line="276"/>
      </w:pPr>
      <w:r>
        <w:rPr>
          <w:b/>
          <w:bCs/>
          <w:sz w:val="22"/>
          <w:szCs w:val="22"/>
        </w:rPr>
        <w:t xml:space="preserve">Conservatism: </w:t>
      </w:r>
      <w:r>
        <w:rPr>
          <w:sz w:val="22"/>
          <w:szCs w:val="22"/>
        </w:rPr>
        <w:t xml:space="preserve">exercise caution in judgment. Probable losses are recognized as soon as they can be reasonably estimated; gains only when realized. When future benefits are uncertain or can't be reliably measured, an item may not be recognized at all — e.g., an internally developed brand is usually not on the balance sheet unless acquired in a business combination.</w:t>
      </w:r>
    </w:p>
    <w:p>
      <w:pPr>
        <w:spacing w:after="120" w:line="276"/>
      </w:pPr>
      <w:r>
        <w:rPr>
          <w:b/>
          <w:bCs/>
          <w:sz w:val="22"/>
          <w:szCs w:val="22"/>
        </w:rPr>
        <w:t xml:space="preserve">Historical vs. fair value: </w:t>
      </w:r>
      <w:r>
        <w:rPr>
          <w:sz w:val="22"/>
          <w:szCs w:val="22"/>
        </w:rPr>
        <w:t xml:space="preserve">long-term assets like property, plant, and equipment are usually carried at historical cost less depreciation, used when fair value is hard to measure. Actively traded financial instruments are carried at fair value, giving a more current view. The choice depends on the asset and the reliability of the valuation.</w:t>
      </w:r>
    </w:p>
    <w:p>
      <w:pPr>
        <w:spacing w:after="120" w:line="276"/>
      </w:pPr>
      <w:r>
        <w:rPr>
          <w:b/>
          <w:bCs/>
          <w:sz w:val="22"/>
          <w:szCs w:val="22"/>
        </w:rPr>
        <w:t xml:space="preserve">Flexibility: </w:t>
      </w:r>
      <w:r>
        <w:rPr>
          <w:sz w:val="22"/>
          <w:szCs w:val="22"/>
        </w:rPr>
        <w:t xml:space="preserve">management has some latitude in choosing policies and making estimates — e.g., the useful life used for depreciation (a longer life lowers annual expense and lifts short-term profit). But policies must be applied consistently, disclosed clearly, and be reasonable and justifiable, and auditors keep judgments within acceptable limits.</w:t>
      </w:r>
    </w:p>
    <w:p>
      <w:pPr>
        <w:spacing w:after="120" w:line="276"/>
      </w:pPr>
      <w:r>
        <w:rPr>
          <w:b/>
          <w:bCs/>
          <w:sz w:val="22"/>
          <w:szCs w:val="22"/>
        </w:rPr>
        <w:t xml:space="preserve">Full disclosure and materiality: </w:t>
      </w:r>
      <w:r>
        <w:rPr>
          <w:sz w:val="22"/>
          <w:szCs w:val="22"/>
        </w:rPr>
        <w:t xml:space="preserve">statements should include all information that could influence users' decisions (full disclosure). Materiality means an item must be disclosed if omitting or misstating it could reasonably affect users' decisions. A small firm might not break out a minor legal settlement; a pharma company facing a multi-billion-dollar suit must. R&amp;D is material for tech and pharma and is disclosed separately; for a small retailer it may be immaterial.</w:t>
      </w:r>
    </w:p>
    <w:p>
      <w:pPr>
        <w:pStyle w:val="Heading2"/>
        <w:spacing w:after="120" w:before="260"/>
      </w:pPr>
      <w:r>
        <w:rPr>
          <w:b/>
          <w:bCs/>
          <w:color w:val="1F3864"/>
          <w:sz w:val="28"/>
          <w:szCs w:val="28"/>
        </w:rPr>
        <w:t xml:space="preserve">The Main Financial Statements — High-Level Overview</w:t>
      </w:r>
    </w:p>
    <w:p>
      <w:pPr>
        <w:spacing w:after="120" w:line="276"/>
      </w:pPr>
      <w:r>
        <w:rPr>
          <w:sz w:val="22"/>
          <w:szCs w:val="22"/>
        </w:rPr>
        <w:t xml:space="preserve">The three primary statements present different data and together give a comprehensive view of performance and position. Understanding each — and how they interrelate — is essential.</w:t>
      </w:r>
    </w:p>
    <w:p>
      <w:pPr>
        <w:pStyle w:val="Heading3"/>
        <w:spacing w:after="80" w:before="180"/>
      </w:pPr>
      <w:r>
        <w:rPr>
          <w:b/>
          <w:bCs/>
          <w:color w:val="1F3864"/>
          <w:sz w:val="24"/>
          <w:szCs w:val="24"/>
        </w:rPr>
        <w:t xml:space="preserve">Balance Sheet (BS)</w:t>
      </w:r>
    </w:p>
    <w:p>
      <w:pPr>
        <w:spacing w:after="120" w:line="276"/>
      </w:pPr>
      <w:r>
        <w:rPr>
          <w:sz w:val="22"/>
          <w:szCs w:val="22"/>
        </w:rPr>
        <w:t xml:space="preserve">A snapshot of assets, liabilities, and equity at a point in time — a financial photograph on a given date. It answers: what does the company own, and how was it financed? The fundamental equation is:</w:t>
      </w:r>
    </w:p>
    <w:p>
      <w:pPr>
        <w:spacing w:after="120" w:before="40"/>
        <w:jc w:val="center"/>
      </w:pPr>
      <w:r>
        <w:rPr>
          <w:b/>
          <w:bCs/>
          <w:color w:val="1F3864"/>
          <w:sz w:val="22"/>
          <w:szCs w:val="22"/>
        </w:rPr>
        <w:t xml:space="preserve">Assets = Liabilities + Equity</w:t>
      </w:r>
    </w:p>
    <w:p>
      <w:pPr>
        <w:spacing w:after="120" w:line="276"/>
      </w:pPr>
      <w:r>
        <w:rPr>
          <w:sz w:val="22"/>
          <w:szCs w:val="22"/>
        </w:rPr>
        <w:t xml:space="preserve">This must always balance.</w:t>
      </w:r>
    </w:p>
    <w:p>
      <w:pPr>
        <w:spacing w:after="120" w:line="276"/>
      </w:pPr>
      <w:r>
        <w:rPr>
          <w:sz w:val="22"/>
          <w:szCs w:val="22"/>
        </w:rPr>
        <w:t xml:space="preserve">Assets are resources the company controls that are expected to provide future benefit. They can be tangible (cash, inventory, buildings, equipment) or intangible (patents, trademarks, goodwill); monetary or non-monetary; current (used or converted within a year) or long-term.</w:t>
      </w:r>
    </w:p>
    <w:p>
      <w:pPr>
        <w:spacing w:after="120" w:line="276"/>
      </w:pPr>
      <w:r>
        <w:rPr>
          <w:sz w:val="22"/>
          <w:szCs w:val="22"/>
        </w:rPr>
        <w:t xml:space="preserve">Liabilities are obligations to outside parties — to pay cash (accounts payable, salaries payable, loans) or to deliver goods or services (deferred revenue). They may be operating or financial, and current or long-term.</w:t>
      </w:r>
    </w:p>
    <w:p>
      <w:pPr>
        <w:spacing w:after="120" w:line="276"/>
      </w:pPr>
      <w:r>
        <w:rPr>
          <w:sz w:val="22"/>
          <w:szCs w:val="22"/>
        </w:rPr>
        <w:t xml:space="preserve">Equity is the residual interest in assets after deducting liabilities — the owners' stake. It consists mainly of:</w:t>
      </w:r>
    </w:p>
    <w:p>
      <w:pPr>
        <w:pStyle w:val="ListParagraph"/>
        <w:numPr>
          <w:ilvl w:val="0"/>
          <w:numId w:val="2"/>
        </w:numPr>
        <w:spacing w:after="80" w:line="276"/>
      </w:pPr>
      <w:r>
        <w:rPr>
          <w:b/>
          <w:bCs/>
          <w:sz w:val="22"/>
          <w:szCs w:val="22"/>
        </w:rPr>
        <w:t xml:space="preserve">Contributed capital: </w:t>
      </w:r>
      <w:r>
        <w:rPr>
          <w:sz w:val="22"/>
          <w:szCs w:val="22"/>
        </w:rPr>
        <w:t xml:space="preserve">cash and assets invested by shareholders in exchange for stock (common stock and additional paid-in capital).</w:t>
      </w:r>
    </w:p>
    <w:p>
      <w:pPr>
        <w:pStyle w:val="ListParagraph"/>
        <w:numPr>
          <w:ilvl w:val="0"/>
          <w:numId w:val="2"/>
        </w:numPr>
        <w:spacing w:after="80" w:line="276"/>
      </w:pPr>
      <w:r>
        <w:rPr>
          <w:b/>
          <w:bCs/>
          <w:sz w:val="22"/>
          <w:szCs w:val="22"/>
        </w:rPr>
        <w:t xml:space="preserve">Earned capital: </w:t>
      </w:r>
      <w:r>
        <w:rPr>
          <w:sz w:val="22"/>
          <w:szCs w:val="22"/>
        </w:rPr>
        <w:t xml:space="preserve">mainly retained earnings — accumulated net income not paid out as dividends. Retained Earnings = Prior Retained Earnings + Net Income − Dividends.</w:t>
      </w:r>
    </w:p>
    <w:p>
      <w:pPr>
        <w:spacing w:after="120" w:line="276"/>
      </w:pPr>
      <w:r>
        <w:rPr>
          <w:sz w:val="22"/>
          <w:szCs w:val="22"/>
        </w:rPr>
        <w:t xml:space="preserve">Market value vs. book value of equity: the book value on the balance sheet and the market value from share prices can differ sharply, because of:</w:t>
      </w:r>
    </w:p>
    <w:p>
      <w:pPr>
        <w:pStyle w:val="ListParagraph"/>
        <w:numPr>
          <w:ilvl w:val="0"/>
          <w:numId w:val="2"/>
        </w:numPr>
        <w:spacing w:after="80" w:line="276"/>
      </w:pPr>
      <w:r>
        <w:rPr>
          <w:b/>
          <w:bCs/>
          <w:sz w:val="22"/>
          <w:szCs w:val="22"/>
        </w:rPr>
        <w:t xml:space="preserve">Historical contributed capital: </w:t>
      </w:r>
      <w:r>
        <w:rPr>
          <w:sz w:val="22"/>
          <w:szCs w:val="22"/>
        </w:rPr>
        <w:t xml:space="preserve">book equity reflects the investment made when it was made — often long ago.</w:t>
      </w:r>
    </w:p>
    <w:p>
      <w:pPr>
        <w:pStyle w:val="ListParagraph"/>
        <w:numPr>
          <w:ilvl w:val="0"/>
          <w:numId w:val="2"/>
        </w:numPr>
        <w:spacing w:after="80" w:line="276"/>
      </w:pPr>
      <w:r>
        <w:rPr>
          <w:b/>
          <w:bCs/>
          <w:sz w:val="22"/>
          <w:szCs w:val="22"/>
        </w:rPr>
        <w:t xml:space="preserve">Unrecognized or undervalued assets: </w:t>
      </w:r>
      <w:r>
        <w:rPr>
          <w:sz w:val="22"/>
          <w:szCs w:val="22"/>
        </w:rPr>
        <w:t xml:space="preserve">GAAP excludes assets that can't be reliably measured (a strong brand, internally developed IP); the market often prices them highly.</w:t>
      </w:r>
    </w:p>
    <w:p>
      <w:pPr>
        <w:pStyle w:val="ListParagraph"/>
        <w:numPr>
          <w:ilvl w:val="0"/>
          <w:numId w:val="2"/>
        </w:numPr>
        <w:spacing w:after="80" w:line="276"/>
      </w:pPr>
      <w:r>
        <w:rPr>
          <w:b/>
          <w:bCs/>
          <w:sz w:val="22"/>
          <w:szCs w:val="22"/>
        </w:rPr>
        <w:t xml:space="preserve">Future performance and growth: </w:t>
      </w:r>
      <w:r>
        <w:rPr>
          <w:sz w:val="22"/>
          <w:szCs w:val="22"/>
        </w:rPr>
        <w:t xml:space="preserve">statements report the past and present; market prices are forward-looking and reflect expectations of future cash flows and growth.</w:t>
      </w:r>
    </w:p>
    <w:p>
      <w:pPr>
        <w:spacing w:after="120" w:line="276"/>
      </w:pPr>
      <w:r>
        <w:rPr>
          <w:sz w:val="22"/>
          <w:szCs w:val="22"/>
        </w:rPr>
        <w:t xml:space="preserve">Nvidia is the cleanest current illustration: a market value of around $5 trillion sits on top of a balance sheet whose book equity is only a small fraction of that. Almost the entire gap is future growth expectations and unrecognized intangibles — its chip designs and software ecosystem — which GAAP never records. A capital-heavy utility, by contrast, has market and book values much closer together.</w:t>
      </w:r>
    </w:p>
    <w:p>
      <w:pPr>
        <w:pStyle w:val="Heading3"/>
        <w:spacing w:after="80" w:before="180"/>
      </w:pPr>
      <w:r>
        <w:rPr>
          <w:b/>
          <w:bCs/>
          <w:color w:val="1F3864"/>
          <w:sz w:val="24"/>
          <w:szCs w:val="24"/>
        </w:rPr>
        <w:t xml:space="preserve">Income Statement (IS)</w:t>
      </w:r>
    </w:p>
    <w:p>
      <w:pPr>
        <w:spacing w:after="120" w:line="276"/>
      </w:pPr>
      <w:r>
        <w:rPr>
          <w:sz w:val="22"/>
          <w:szCs w:val="22"/>
        </w:rPr>
        <w:t xml:space="preserve">Also called the profit and loss (P&amp;L) statement, it reports performance over a period (month, quarter, year) — the revenues earned and the expenses incurred to earn them. We explore the details in a later class. The key line items:</w:t>
      </w:r>
    </w:p>
    <w:p>
      <w:pPr>
        <w:pStyle w:val="ListParagraph"/>
        <w:numPr>
          <w:ilvl w:val="0"/>
          <w:numId w:val="2"/>
        </w:numPr>
        <w:spacing w:after="80" w:line="276"/>
      </w:pPr>
      <w:r>
        <w:rPr>
          <w:b/>
          <w:bCs/>
          <w:sz w:val="22"/>
          <w:szCs w:val="22"/>
        </w:rPr>
        <w:t xml:space="preserve">Sales / Revenue: </w:t>
      </w:r>
      <w:r>
        <w:rPr>
          <w:sz w:val="22"/>
          <w:szCs w:val="22"/>
        </w:rPr>
        <w:t xml:space="preserve">total earned from primary business activities in the period. Recognized when earned and realizable, which may not coincide with cash receipt.</w:t>
      </w:r>
    </w:p>
    <w:p>
      <w:pPr>
        <w:pStyle w:val="ListParagraph"/>
        <w:numPr>
          <w:ilvl w:val="0"/>
          <w:numId w:val="2"/>
        </w:numPr>
        <w:spacing w:after="80" w:line="276"/>
      </w:pPr>
      <w:r>
        <w:rPr>
          <w:b/>
          <w:bCs/>
          <w:sz w:val="22"/>
          <w:szCs w:val="22"/>
        </w:rPr>
        <w:t xml:space="preserve">Cost of Goods Sold (COGS): </w:t>
      </w:r>
      <w:r>
        <w:rPr>
          <w:sz w:val="22"/>
          <w:szCs w:val="22"/>
        </w:rPr>
        <w:t xml:space="preserve">direct costs of producing the goods or services sold — materials, direct labor, manufacturing overhead. May or may not involve current cash outflow.</w:t>
      </w:r>
    </w:p>
    <w:p>
      <w:pPr>
        <w:pStyle w:val="ListParagraph"/>
        <w:numPr>
          <w:ilvl w:val="0"/>
          <w:numId w:val="2"/>
        </w:numPr>
        <w:spacing w:after="80" w:line="276"/>
      </w:pPr>
      <w:r>
        <w:rPr>
          <w:b/>
          <w:bCs/>
          <w:sz w:val="22"/>
          <w:szCs w:val="22"/>
        </w:rPr>
        <w:t xml:space="preserve">Gross Profit = Revenue − COGS: </w:t>
      </w:r>
      <w:r>
        <w:rPr>
          <w:sz w:val="22"/>
          <w:szCs w:val="22"/>
        </w:rPr>
        <w:t xml:space="preserve">profit after the direct costs of the product or service; a key indicator of core profitability.</w:t>
      </w:r>
    </w:p>
    <w:p>
      <w:pPr>
        <w:pStyle w:val="ListParagraph"/>
        <w:numPr>
          <w:ilvl w:val="0"/>
          <w:numId w:val="2"/>
        </w:numPr>
        <w:spacing w:after="80" w:line="276"/>
      </w:pPr>
      <w:r>
        <w:rPr>
          <w:b/>
          <w:bCs/>
          <w:sz w:val="22"/>
          <w:szCs w:val="22"/>
        </w:rPr>
        <w:t xml:space="preserve">Operating Expenses: </w:t>
      </w:r>
      <w:r>
        <w:rPr>
          <w:sz w:val="22"/>
          <w:szCs w:val="22"/>
        </w:rPr>
        <w:t xml:space="preserve">indirect costs of running the business — selling, marketing, administrative, and R&amp;D.</w:t>
      </w:r>
    </w:p>
    <w:p>
      <w:pPr>
        <w:pStyle w:val="ListParagraph"/>
        <w:numPr>
          <w:ilvl w:val="0"/>
          <w:numId w:val="2"/>
        </w:numPr>
        <w:spacing w:after="80" w:line="276"/>
      </w:pPr>
      <w:r>
        <w:rPr>
          <w:b/>
          <w:bCs/>
          <w:sz w:val="22"/>
          <w:szCs w:val="22"/>
        </w:rPr>
        <w:t xml:space="preserve">Operating Profit (EBIT) = Gross Profit − Operating Expenses: </w:t>
      </w:r>
      <w:r>
        <w:rPr>
          <w:sz w:val="22"/>
          <w:szCs w:val="22"/>
        </w:rPr>
        <w:t xml:space="preserve">profitability of core operations before financing costs and taxes.</w:t>
      </w:r>
    </w:p>
    <w:p>
      <w:pPr>
        <w:pStyle w:val="ListParagraph"/>
        <w:numPr>
          <w:ilvl w:val="0"/>
          <w:numId w:val="2"/>
        </w:numPr>
        <w:spacing w:after="80" w:line="276"/>
      </w:pPr>
      <w:r>
        <w:rPr>
          <w:b/>
          <w:bCs/>
          <w:sz w:val="22"/>
          <w:szCs w:val="22"/>
        </w:rPr>
        <w:t xml:space="preserve">Non-Operating Items: </w:t>
      </w:r>
      <w:r>
        <w:rPr>
          <w:sz w:val="22"/>
          <w:szCs w:val="22"/>
        </w:rPr>
        <w:t xml:space="preserve">income or expense outside core operations — interest, investment gains/losses, FX effects.</w:t>
      </w:r>
    </w:p>
    <w:p>
      <w:pPr>
        <w:pStyle w:val="ListParagraph"/>
        <w:numPr>
          <w:ilvl w:val="0"/>
          <w:numId w:val="2"/>
        </w:numPr>
        <w:spacing w:after="80" w:line="276"/>
      </w:pPr>
      <w:r>
        <w:rPr>
          <w:b/>
          <w:bCs/>
          <w:sz w:val="22"/>
          <w:szCs w:val="22"/>
        </w:rPr>
        <w:t xml:space="preserve">Pre-Tax Income (EBT) = Operating Profit ± Non-Operating Items: </w:t>
      </w:r>
      <w:r>
        <w:rPr>
          <w:sz w:val="22"/>
          <w:szCs w:val="22"/>
        </w:rPr>
        <w:t xml:space="preserve">profit before income taxes.</w:t>
      </w:r>
    </w:p>
    <w:p>
      <w:pPr>
        <w:pStyle w:val="ListParagraph"/>
        <w:numPr>
          <w:ilvl w:val="0"/>
          <w:numId w:val="2"/>
        </w:numPr>
        <w:spacing w:after="80" w:line="276"/>
      </w:pPr>
      <w:r>
        <w:rPr>
          <w:b/>
          <w:bCs/>
          <w:sz w:val="22"/>
          <w:szCs w:val="22"/>
        </w:rPr>
        <w:t xml:space="preserve">Provision for Income Taxes: </w:t>
      </w:r>
      <w:r>
        <w:rPr>
          <w:sz w:val="22"/>
          <w:szCs w:val="22"/>
        </w:rPr>
        <w:t xml:space="preserve">estimated taxes owed for the period. Financial-reporting and tax rules differ, so this rarely equals cash taxes paid.</w:t>
      </w:r>
    </w:p>
    <w:p>
      <w:pPr>
        <w:pStyle w:val="ListParagraph"/>
        <w:numPr>
          <w:ilvl w:val="0"/>
          <w:numId w:val="2"/>
        </w:numPr>
        <w:spacing w:after="80" w:line="276"/>
      </w:pPr>
      <w:r>
        <w:rPr>
          <w:b/>
          <w:bCs/>
          <w:sz w:val="22"/>
          <w:szCs w:val="22"/>
        </w:rPr>
        <w:t xml:space="preserve">Net Income = Pre-Tax Income − Taxes: </w:t>
      </w:r>
      <w:r>
        <w:rPr>
          <w:sz w:val="22"/>
          <w:szCs w:val="22"/>
        </w:rPr>
        <w:t xml:space="preserve">the "bottom line" — profit after all expenses, including taxes.</w:t>
      </w:r>
    </w:p>
    <w:p>
      <w:pPr>
        <w:spacing w:after="120" w:line="276"/>
      </w:pPr>
      <w:r>
        <w:rPr>
          <w:sz w:val="22"/>
          <w:szCs w:val="22"/>
        </w:rPr>
        <w:t xml:space="preserve">Alongside these GAAP figures, many companies also report non-GAAP or "adjusted" measures — such as Adjusted EBITDA or adjusted EPS — that remove items management considers non-recurring or non-cash. These can aid comparison, but they are not standardized and management decides what to exclude, so read them skeptically and always reconcile them back to the GAAP numbers. The AMMO case noted earlier shows how an "adjusted" metric can be defined to flatter results.</w:t>
      </w:r>
    </w:p>
    <w:p>
      <w:pPr>
        <w:pStyle w:val="Heading3"/>
        <w:spacing w:after="80" w:before="180"/>
      </w:pPr>
      <w:r>
        <w:rPr>
          <w:b/>
          <w:bCs/>
          <w:color w:val="1F3864"/>
          <w:sz w:val="24"/>
          <w:szCs w:val="24"/>
        </w:rPr>
        <w:t xml:space="preserve">Cash Flow (CF) Statement</w:t>
      </w:r>
    </w:p>
    <w:p>
      <w:pPr>
        <w:spacing w:after="120" w:line="276"/>
      </w:pPr>
      <w:r>
        <w:rPr>
          <w:sz w:val="22"/>
          <w:szCs w:val="22"/>
        </w:rPr>
        <w:t xml:space="preserve">Net income, built on accruals, does not equal cash generated. The cash flow statement reports actual cash in and out over the period. It links the balance sheet (explaining the change in cash) and the income statement (starting from net income and adjusting for non-cash items, working-capital changes, and other flows). It is essential for judging liquidity and how the business sources and uses cash. We devote a full class to it. Its three sections:</w:t>
      </w:r>
    </w:p>
    <w:p>
      <w:pPr>
        <w:pStyle w:val="ListParagraph"/>
        <w:numPr>
          <w:ilvl w:val="0"/>
          <w:numId w:val="2"/>
        </w:numPr>
        <w:spacing w:after="80" w:line="276"/>
      </w:pPr>
      <w:r>
        <w:rPr>
          <w:b/>
          <w:bCs/>
          <w:sz w:val="22"/>
          <w:szCs w:val="22"/>
        </w:rPr>
        <w:t xml:space="preserve">Cash Flow from Operations (CFO): </w:t>
      </w:r>
      <w:r>
        <w:rPr>
          <w:sz w:val="22"/>
          <w:szCs w:val="22"/>
        </w:rPr>
        <w:t xml:space="preserve">cash from selling products and services. Starts with net income, then adjusts for non-cash items (like depreciation) and changes in operating assets and liabilities (receivables, inventory, payables). Positive CFO signals the core business funds itself.</w:t>
      </w:r>
    </w:p>
    <w:p>
      <w:pPr>
        <w:pStyle w:val="ListParagraph"/>
        <w:numPr>
          <w:ilvl w:val="0"/>
          <w:numId w:val="2"/>
        </w:numPr>
        <w:spacing w:after="80" w:line="276"/>
      </w:pPr>
      <w:r>
        <w:rPr>
          <w:b/>
          <w:bCs/>
          <w:sz w:val="22"/>
          <w:szCs w:val="22"/>
        </w:rPr>
        <w:t xml:space="preserve">Cash Flow from Investing (CFI): </w:t>
      </w:r>
      <w:r>
        <w:rPr>
          <w:sz w:val="22"/>
          <w:szCs w:val="22"/>
        </w:rPr>
        <w:t xml:space="preserve">cash to support and build the business — buying and selling long-term assets (CapEx), securities, and acquisitions. Outflows (buying equipment) or inflows (selling it).</w:t>
      </w:r>
    </w:p>
    <w:p>
      <w:pPr>
        <w:pStyle w:val="ListParagraph"/>
        <w:numPr>
          <w:ilvl w:val="0"/>
          <w:numId w:val="2"/>
        </w:numPr>
        <w:spacing w:after="80" w:line="276"/>
      </w:pPr>
      <w:r>
        <w:rPr>
          <w:b/>
          <w:bCs/>
          <w:sz w:val="22"/>
          <w:szCs w:val="22"/>
        </w:rPr>
        <w:t xml:space="preserve">Cash Flow from Financing (CFF): </w:t>
      </w:r>
      <w:r>
        <w:rPr>
          <w:sz w:val="22"/>
          <w:szCs w:val="22"/>
        </w:rPr>
        <w:t xml:space="preserve">cash from financing — issuing or repurchasing stock, borrowing and repaying debt, paying dividends. Borrowing and issuing stock are inflows; repayments, buybacks, and dividends are outflows.</w:t>
      </w:r>
    </w:p>
    <w:p>
      <w:pPr>
        <w:spacing w:after="120" w:line="276"/>
      </w:pPr>
      <w:r>
        <w:rPr>
          <w:sz w:val="22"/>
          <w:szCs w:val="22"/>
        </w:rPr>
        <w:t xml:space="preserve">The statement shows not just the change in cash but its drivers — where cash comes from and how the business uses it.</w:t>
      </w:r>
    </w:p>
    <w:p>
      <w:pPr>
        <w:pStyle w:val="Heading3"/>
        <w:spacing w:after="80" w:before="180"/>
      </w:pPr>
      <w:r>
        <w:rPr>
          <w:b/>
          <w:bCs/>
          <w:color w:val="1F3864"/>
          <w:sz w:val="24"/>
          <w:szCs w:val="24"/>
        </w:rPr>
        <w:t xml:space="preserve">Relationship Between the Statements</w:t>
      </w:r>
    </w:p>
    <w:p>
      <w:pPr>
        <w:spacing w:after="120" w:line="276"/>
      </w:pPr>
      <w:r>
        <w:rPr>
          <w:sz w:val="22"/>
          <w:szCs w:val="22"/>
        </w:rPr>
        <w:t xml:space="preserve">The three statements are intricately linked; a change in one affects at least one other. Key relationships (we work practical examples in class):</w:t>
      </w:r>
    </w:p>
    <w:p>
      <w:pPr>
        <w:pStyle w:val="ListParagraph"/>
        <w:numPr>
          <w:ilvl w:val="0"/>
          <w:numId w:val="2"/>
        </w:numPr>
        <w:spacing w:after="80" w:line="276"/>
      </w:pPr>
      <w:r>
        <w:rPr>
          <w:sz w:val="22"/>
          <w:szCs w:val="22"/>
        </w:rPr>
        <w:t xml:space="preserve">The change in the cash balance on the balance sheet equals the total change in cash on the cash flow statement.</w:t>
      </w:r>
    </w:p>
    <w:p>
      <w:pPr>
        <w:pStyle w:val="ListParagraph"/>
        <w:numPr>
          <w:ilvl w:val="0"/>
          <w:numId w:val="2"/>
        </w:numPr>
        <w:spacing w:after="80" w:line="276"/>
      </w:pPr>
      <w:r>
        <w:rPr>
          <w:sz w:val="22"/>
          <w:szCs w:val="22"/>
        </w:rPr>
        <w:t xml:space="preserve">Net income on the income statement is the starting point for cash flow from operations.</w:t>
      </w:r>
    </w:p>
    <w:p>
      <w:pPr>
        <w:pStyle w:val="ListParagraph"/>
        <w:numPr>
          <w:ilvl w:val="0"/>
          <w:numId w:val="2"/>
        </w:numPr>
        <w:spacing w:after="80" w:line="276"/>
      </w:pPr>
      <w:r>
        <w:rPr>
          <w:sz w:val="22"/>
          <w:szCs w:val="22"/>
        </w:rPr>
        <w:t xml:space="preserve">Ending retained earnings = beginning retained earnings + net income − dividends; share repurchases (in CFF) also reduce equity.</w:t>
      </w:r>
    </w:p>
    <w:p>
      <w:pPr>
        <w:pStyle w:val="ListParagraph"/>
        <w:numPr>
          <w:ilvl w:val="0"/>
          <w:numId w:val="2"/>
        </w:numPr>
        <w:spacing w:after="80" w:line="276"/>
      </w:pPr>
      <w:r>
        <w:rPr>
          <w:sz w:val="22"/>
          <w:szCs w:val="22"/>
        </w:rPr>
        <w:t xml:space="preserve">Capital expenditures appear as CFI outflows, become gross fixed assets on the balance sheet, and are consumed as depreciation on the income statement — which is then an add-back in CFO.</w:t>
      </w:r>
    </w:p>
    <w:p>
      <w:pPr>
        <w:spacing w:after="120" w:line="276"/>
      </w:pPr>
      <w:r>
        <w:rPr>
          <w:sz w:val="22"/>
          <w:szCs w:val="22"/>
        </w:rPr>
        <w:t xml:space="preserve">A short worked example ties the three together. Suppose that in one period a company buys $100 of inventory on credit and then sells it for $150 in cash:</w:t>
      </w:r>
    </w:p>
    <w:p>
      <w:pPr>
        <w:pStyle w:val="ListParagraph"/>
        <w:numPr>
          <w:ilvl w:val="0"/>
          <w:numId w:val="2"/>
        </w:numPr>
        <w:spacing w:after="80" w:line="276"/>
      </w:pPr>
      <w:r>
        <w:rPr>
          <w:sz w:val="22"/>
          <w:szCs w:val="22"/>
        </w:rPr>
        <w:t xml:space="preserve">Income statement: revenue $150 − COGS $100 = $50 of net income (ignoring taxes).</w:t>
      </w:r>
    </w:p>
    <w:p>
      <w:pPr>
        <w:pStyle w:val="ListParagraph"/>
        <w:numPr>
          <w:ilvl w:val="0"/>
          <w:numId w:val="2"/>
        </w:numPr>
        <w:spacing w:after="80" w:line="276"/>
      </w:pPr>
      <w:r>
        <w:rPr>
          <w:sz w:val="22"/>
          <w:szCs w:val="22"/>
        </w:rPr>
        <w:t xml:space="preserve">Balance sheet: cash rises $150; inventory is unchanged (bought, then sold); accounts payable rises $100 (the purchase is still unpaid); and retained earnings rises $50. Assets (+$150) equal liabilities (+$100) plus equity (+$50).</w:t>
      </w:r>
    </w:p>
    <w:p>
      <w:pPr>
        <w:pStyle w:val="ListParagraph"/>
        <w:numPr>
          <w:ilvl w:val="0"/>
          <w:numId w:val="2"/>
        </w:numPr>
        <w:spacing w:after="80" w:line="276"/>
      </w:pPr>
      <w:r>
        <w:rPr>
          <w:sz w:val="22"/>
          <w:szCs w:val="22"/>
        </w:rPr>
        <w:t xml:space="preserve">Cash flow statement: operating cash flow is +$150 — net income of $50 plus the $100 increase in accounts payable — which matches the $150 rise in cash.</w:t>
      </w:r>
    </w:p>
    <w:p>
      <w:pPr>
        <w:spacing w:after="120" w:line="276"/>
      </w:pPr>
      <w:r>
        <w:rPr>
          <w:sz w:val="22"/>
          <w:szCs w:val="22"/>
        </w:rPr>
        <w:t xml:space="preserve">The same $50 of profit and $150 of cash appear, consistently, across all three statements — which is why you must read all three together to understand a company's condition and performance.</w:t>
      </w:r>
    </w:p>
    <w:p>
      <w:pPr>
        <w:pStyle w:val="Heading2"/>
        <w:spacing w:after="120" w:before="260"/>
      </w:pPr>
      <w:r>
        <w:rPr>
          <w:b/>
          <w:bCs/>
          <w:color w:val="1F3864"/>
          <w:sz w:val="28"/>
          <w:szCs w:val="28"/>
        </w:rPr>
        <w:t xml:space="preserve">Regulation</w:t>
      </w:r>
    </w:p>
    <w:p>
      <w:pPr>
        <w:spacing w:after="120" w:line="276"/>
      </w:pPr>
      <w:r>
        <w:rPr>
          <w:sz w:val="22"/>
          <w:szCs w:val="22"/>
        </w:rPr>
        <w:t xml:space="preserve">To ensure transparency and protect investors, U.S. financial reporting sits within a robust framework:</w:t>
      </w:r>
    </w:p>
    <w:p>
      <w:pPr>
        <w:spacing w:after="120" w:line="276"/>
      </w:pPr>
      <w:r>
        <w:rPr>
          <w:b/>
          <w:bCs/>
          <w:sz w:val="22"/>
          <w:szCs w:val="22"/>
        </w:rPr>
        <w:t xml:space="preserve">Securities and Exchange Commission (SEC): </w:t>
      </w:r>
      <w:r>
        <w:rPr>
          <w:sz w:val="22"/>
          <w:szCs w:val="22"/>
        </w:rPr>
        <w:t xml:space="preserve">an independent federal agency established in 1934 to protect investors, maintain fair and efficient markets, and facilitate capital formation. It oversees disclosure by public companies and enforces securities laws.</w:t>
      </w:r>
    </w:p>
    <w:p>
      <w:pPr>
        <w:spacing w:after="120" w:line="276"/>
      </w:pPr>
      <w:r>
        <w:rPr>
          <w:b/>
          <w:bCs/>
          <w:sz w:val="22"/>
          <w:szCs w:val="22"/>
        </w:rPr>
        <w:t xml:space="preserve">Financial Accounting Standards Board (FASB): </w:t>
      </w:r>
      <w:r>
        <w:rPr>
          <w:sz w:val="22"/>
          <w:szCs w:val="22"/>
        </w:rPr>
        <w:t xml:space="preserve">founded in 1973, a private non-profit that is the designated standard-setter for U.S. public and private companies and non-profits. It develops and maintains U.S. GAAP through a process of discussion papers, public comment, and Accounting Standards Updates.</w:t>
      </w:r>
    </w:p>
    <w:p>
      <w:pPr>
        <w:spacing w:after="120" w:line="276"/>
      </w:pPr>
      <w:r>
        <w:rPr>
          <w:b/>
          <w:bCs/>
          <w:sz w:val="22"/>
          <w:szCs w:val="22"/>
        </w:rPr>
        <w:t xml:space="preserve">Public Company Accounting Oversight Board (PCAOB): </w:t>
      </w:r>
      <w:r>
        <w:rPr>
          <w:sz w:val="22"/>
          <w:szCs w:val="22"/>
        </w:rPr>
        <w:t xml:space="preserve">created in 2002 under the Sarbanes-Oxley Act after major accounting scandals, it oversees the audits of public companies and sets the standards independent auditors (CPAs) must follow.</w:t>
      </w:r>
    </w:p>
    <w:p>
      <w:pPr>
        <w:spacing w:after="120" w:line="276"/>
      </w:pPr>
      <w:r>
        <w:rPr>
          <w:sz w:val="22"/>
          <w:szCs w:val="22"/>
        </w:rPr>
        <w:t xml:space="preserve">The reporting landscape keeps evolving, especially around sustainability and environmental disclosure — and the U.S. picture has recently reversed course. The SEC adopted climate-disclosure rules in March 2024, stopped defending them in court in March 2025, and in 2026 moved to rescind them. Meanwhile the international ISSB standards (IFRS S1 and S2) are being adopted or considered in many jurisdictions, and the EU's Corporate Sustainability Reporting Directive reaches many large and non-EU companies. The net effect is that sustainability reporting is fragmenting by region and requirements continue to change — an area worth watching.</w:t>
      </w:r>
    </w:p>
    <w:p>
      <w:pPr>
        <w:spacing w:after="120" w:line="276"/>
      </w:pPr>
      <w:r>
        <w:rPr>
          <w:sz w:val="22"/>
          <w:szCs w:val="22"/>
        </w:rPr>
        <w:t xml:space="preserve">Internationally, standards are set by the International Accounting Standards Board (IASB), an independent body that develops International Financial Reporting Standards (IFRS), used by most countries outside the United States. There is interest in converging U.S. GAAP and IFRS, but progress has been slow and FASB remains the primary U.S. standard-setter.</w:t>
      </w:r>
    </w:p>
    <w:p>
      <w:pPr>
        <w:pStyle w:val="Heading3"/>
        <w:spacing w:after="80" w:before="180"/>
      </w:pPr>
      <w:r>
        <w:rPr>
          <w:b/>
          <w:bCs/>
          <w:color w:val="1F3864"/>
          <w:sz w:val="24"/>
          <w:szCs w:val="24"/>
        </w:rPr>
        <w:t xml:space="preserve">How different are IFRS and U.S. GAAP?</w:t>
      </w:r>
    </w:p>
    <w:p>
      <w:pPr>
        <w:spacing w:after="120" w:line="276"/>
      </w:pPr>
      <w:r>
        <w:rPr>
          <w:sz w:val="22"/>
          <w:szCs w:val="22"/>
        </w:rPr>
        <w:t xml:space="preserve">The underlying principles are quite similar. Both use accrual accounting, similar conceptual frameworks, the same core statements (balance sheet, income statement, cash flow, and statement of changes in equity), and explanatory footnotes. Differences lie in specific rules for particular transactions or industries, not the overarching principles. For our purposes, the differences are immaterial.</w:t>
      </w:r>
    </w:p>
    <w:p>
      <w:pPr>
        <w:pStyle w:val="Heading2"/>
        <w:spacing w:after="120" w:before="260"/>
      </w:pPr>
      <w:r>
        <w:rPr>
          <w:b/>
          <w:bCs/>
          <w:color w:val="1F3864"/>
          <w:sz w:val="28"/>
          <w:szCs w:val="28"/>
        </w:rPr>
        <w:t xml:space="preserve">Who Is Responsible for the Financial Statements</w:t>
      </w:r>
    </w:p>
    <w:p>
      <w:pPr>
        <w:spacing w:after="120" w:line="276"/>
      </w:pPr>
      <w:r>
        <w:rPr>
          <w:sz w:val="22"/>
          <w:szCs w:val="22"/>
        </w:rPr>
        <w:t xml:space="preserve">Responsibility for the accuracy and completeness of the statements and disclosures rests with several parties:</w:t>
      </w:r>
    </w:p>
    <w:p>
      <w:pPr>
        <w:spacing w:after="120" w:line="276"/>
      </w:pPr>
      <w:r>
        <w:rPr>
          <w:b/>
          <w:bCs/>
          <w:sz w:val="22"/>
          <w:szCs w:val="22"/>
        </w:rPr>
        <w:t xml:space="preserve">Corporate managers: </w:t>
      </w:r>
      <w:r>
        <w:rPr>
          <w:sz w:val="22"/>
          <w:szCs w:val="22"/>
        </w:rPr>
        <w:t xml:space="preserve">management prepares the statements under the applicable standards.</w:t>
      </w:r>
    </w:p>
    <w:p>
      <w:pPr>
        <w:spacing w:after="120" w:line="276"/>
      </w:pPr>
      <w:r>
        <w:rPr>
          <w:b/>
          <w:bCs/>
          <w:sz w:val="22"/>
          <w:szCs w:val="22"/>
        </w:rPr>
        <w:t xml:space="preserve">CEO and CFO: </w:t>
      </w:r>
      <w:r>
        <w:rPr>
          <w:sz w:val="22"/>
          <w:szCs w:val="22"/>
        </w:rPr>
        <w:t xml:space="preserve">the SEC requires them to personally certify the accuracy and completeness of the statements — direct, personal accountability (a Sarbanes-Oxley requirement).</w:t>
      </w:r>
    </w:p>
    <w:p>
      <w:pPr>
        <w:spacing w:after="120" w:line="276"/>
      </w:pPr>
      <w:r>
        <w:rPr>
          <w:b/>
          <w:bCs/>
          <w:sz w:val="22"/>
          <w:szCs w:val="22"/>
        </w:rPr>
        <w:t xml:space="preserve">Accounting staff: </w:t>
      </w:r>
      <w:r>
        <w:rPr>
          <w:sz w:val="22"/>
          <w:szCs w:val="22"/>
        </w:rPr>
        <w:t xml:space="preserve">responsible for recording transactions accurately and applying the standards; their professional reputations depend on ethical, accurate reporting.</w:t>
      </w:r>
    </w:p>
    <w:p>
      <w:pPr>
        <w:spacing w:after="120" w:line="276"/>
      </w:pPr>
      <w:r>
        <w:rPr>
          <w:b/>
          <w:bCs/>
          <w:sz w:val="22"/>
          <w:szCs w:val="22"/>
        </w:rPr>
        <w:t xml:space="preserve">Technology: </w:t>
      </w:r>
      <w:r>
        <w:rPr>
          <w:sz w:val="22"/>
          <w:szCs w:val="22"/>
        </w:rPr>
        <w:t xml:space="preserve">statements are increasingly prepared by software with varying human oversight. As tools grow more capable, understanding the rules, rationale, and insight behind the numbers matters more, not less.</w:t>
      </w:r>
    </w:p>
    <w:p>
      <w:pPr>
        <w:spacing w:after="120" w:line="276"/>
      </w:pPr>
      <w:r>
        <w:rPr>
          <w:b/>
          <w:bCs/>
          <w:sz w:val="22"/>
          <w:szCs w:val="22"/>
        </w:rPr>
        <w:t xml:space="preserve">Board of Directors: </w:t>
      </w:r>
      <w:r>
        <w:rPr>
          <w:sz w:val="22"/>
          <w:szCs w:val="22"/>
        </w:rPr>
        <w:t xml:space="preserve">elected by shareholders, it oversees management and is responsible for the integrity of financial reporting.</w:t>
      </w:r>
    </w:p>
    <w:p>
      <w:pPr>
        <w:spacing w:after="120" w:line="276"/>
      </w:pPr>
      <w:r>
        <w:rPr>
          <w:b/>
          <w:bCs/>
          <w:sz w:val="22"/>
          <w:szCs w:val="22"/>
        </w:rPr>
        <w:t xml:space="preserve">Audit Committee of the Board: </w:t>
      </w:r>
      <w:r>
        <w:rPr>
          <w:sz w:val="22"/>
          <w:szCs w:val="22"/>
        </w:rPr>
        <w:t xml:space="preserve">independent directors who oversee accounting and reporting, ensure adequate internal controls, and select and oversee the independent auditors.</w:t>
      </w:r>
    </w:p>
    <w:p>
      <w:pPr>
        <w:spacing w:after="120" w:line="276"/>
      </w:pPr>
      <w:r>
        <w:rPr>
          <w:b/>
          <w:bCs/>
          <w:sz w:val="22"/>
          <w:szCs w:val="22"/>
        </w:rPr>
        <w:t xml:space="preserve">Independent auditors: </w:t>
      </w:r>
      <w:r>
        <w:rPr>
          <w:sz w:val="22"/>
          <w:szCs w:val="22"/>
        </w:rPr>
        <w:t xml:space="preserve">for public companies, the SEC requires the statements and internal control over financial reporting to be audited by an independent, PCAOB-registered firm. Auditors review policies, test estimates, and obtain reasonable assurance the statements are free of material misstatement (fraud or error).</w:t>
      </w:r>
    </w:p>
    <w:p>
      <w:pPr>
        <w:spacing w:after="120" w:line="276"/>
      </w:pPr>
      <w:r>
        <w:rPr>
          <w:sz w:val="22"/>
          <w:szCs w:val="22"/>
        </w:rPr>
        <w:t xml:space="preserve">This personal accountability is not an accident. The CEO/CFO certification requirement came directly out of the Enron and WorldCom scandals that produced the Sarbanes-Oxley Act in 2002, and enforcement keeps it live — in 2024, for example, UPS paid a $45 million SEC penalty for misstating the value of one of its business units. When a controller quietly misstates the numbers, as in the Macy's case above, the questions of who is accountable and which control should have caught it are central.</w:t>
      </w:r>
    </w:p>
    <w:p>
      <w:pPr>
        <w:spacing w:after="120" w:line="276"/>
      </w:pPr>
      <w:r>
        <w:rPr>
          <w:sz w:val="22"/>
          <w:szCs w:val="22"/>
        </w:rPr>
        <w:t xml:space="preserve">The auditor's opinion provides reasonable assurance — not a guarantee — that the statements present fairly, in all material respects, the company's position, results, and cash flows under the applicable standards.</w:t>
      </w:r>
    </w:p>
    <w:p>
      <w:pPr>
        <w:pStyle w:val="Heading2"/>
        <w:spacing w:after="120" w:before="260"/>
      </w:pPr>
      <w:r>
        <w:rPr>
          <w:b/>
          <w:bCs/>
          <w:color w:val="1F3864"/>
          <w:sz w:val="28"/>
          <w:szCs w:val="28"/>
        </w:rPr>
        <w:t xml:space="preserve">Required Reports and Other Disclosures</w:t>
      </w:r>
    </w:p>
    <w:p>
      <w:pPr>
        <w:spacing w:after="120" w:line="276"/>
      </w:pPr>
      <w:r>
        <w:rPr>
          <w:sz w:val="22"/>
          <w:szCs w:val="22"/>
        </w:rPr>
        <w:t xml:space="preserve">All companies prepare statements regularly; U.S. public companies must disclose them publicly. The main filings:</w:t>
      </w:r>
    </w:p>
    <w:p>
      <w:pPr>
        <w:spacing w:after="120" w:line="276"/>
      </w:pPr>
      <w:r>
        <w:rPr>
          <w:b/>
          <w:bCs/>
          <w:sz w:val="22"/>
          <w:szCs w:val="22"/>
        </w:rPr>
        <w:t xml:space="preserve">Form 10-K: </w:t>
      </w:r>
      <w:r>
        <w:rPr>
          <w:sz w:val="22"/>
          <w:szCs w:val="22"/>
        </w:rPr>
        <w:t xml:space="preserve">the audited annual report filed with the SEC — all four statements plus detailed notes and management's discussion and analysis (MD&amp;A).</w:t>
      </w:r>
    </w:p>
    <w:p>
      <w:pPr>
        <w:spacing w:after="120" w:line="276"/>
      </w:pPr>
      <w:r>
        <w:rPr>
          <w:b/>
          <w:bCs/>
          <w:sz w:val="22"/>
          <w:szCs w:val="22"/>
        </w:rPr>
        <w:t xml:space="preserve">Form 10-Q: </w:t>
      </w:r>
      <w:r>
        <w:rPr>
          <w:sz w:val="22"/>
          <w:szCs w:val="22"/>
        </w:rPr>
        <w:t xml:space="preserve">the unaudited quarterly report — the main statements with notes, in less detail than the 10-K.</w:t>
      </w:r>
    </w:p>
    <w:p>
      <w:pPr>
        <w:spacing w:after="120" w:line="276"/>
      </w:pPr>
      <w:r>
        <w:rPr>
          <w:sz w:val="22"/>
          <w:szCs w:val="22"/>
        </w:rPr>
        <w:t xml:space="preserve">The main sections of the 10-K:</w:t>
      </w:r>
    </w:p>
    <w:p>
      <w:pPr>
        <w:pStyle w:val="ListParagraph"/>
        <w:numPr>
          <w:ilvl w:val="0"/>
          <w:numId w:val="2"/>
        </w:numPr>
        <w:spacing w:after="80" w:line="276"/>
      </w:pPr>
      <w:r>
        <w:rPr>
          <w:b/>
          <w:bCs/>
          <w:sz w:val="22"/>
          <w:szCs w:val="22"/>
        </w:rPr>
        <w:t xml:space="preserve">Business and Risk Factors: </w:t>
      </w:r>
      <w:r>
        <w:rPr>
          <w:sz w:val="22"/>
          <w:szCs w:val="22"/>
        </w:rPr>
        <w:t xml:space="preserve">industry, business model, competitors, challenges, strategy, and risks. Read this first when analyzing a company — it gives the context for the numbers, and often the mission, values, and culture.</w:t>
      </w:r>
    </w:p>
    <w:p>
      <w:pPr>
        <w:pStyle w:val="ListParagraph"/>
        <w:numPr>
          <w:ilvl w:val="0"/>
          <w:numId w:val="2"/>
        </w:numPr>
        <w:spacing w:after="80" w:line="276"/>
      </w:pPr>
      <w:r>
        <w:rPr>
          <w:b/>
          <w:bCs/>
          <w:sz w:val="22"/>
          <w:szCs w:val="22"/>
        </w:rPr>
        <w:t xml:space="preserve">MD&amp;A: </w:t>
      </w:r>
      <w:r>
        <w:rPr>
          <w:sz w:val="22"/>
          <w:szCs w:val="22"/>
        </w:rPr>
        <w:t xml:space="preserve">management's own view of recent performance — the factors and trends behind the results, plus profitability, liquidity, and capital resources.</w:t>
      </w:r>
    </w:p>
    <w:p>
      <w:pPr>
        <w:pStyle w:val="ListParagraph"/>
        <w:numPr>
          <w:ilvl w:val="0"/>
          <w:numId w:val="2"/>
        </w:numPr>
        <w:spacing w:after="80" w:line="276"/>
      </w:pPr>
      <w:r>
        <w:rPr>
          <w:b/>
          <w:bCs/>
          <w:sz w:val="22"/>
          <w:szCs w:val="22"/>
        </w:rPr>
        <w:t xml:space="preserve">Independent Auditor's Report: </w:t>
      </w:r>
      <w:r>
        <w:rPr>
          <w:sz w:val="22"/>
          <w:szCs w:val="22"/>
        </w:rPr>
        <w:t xml:space="preserve">the auditor's opinion on whether the statements are fairly presented under GAAP.</w:t>
      </w:r>
    </w:p>
    <w:p>
      <w:pPr>
        <w:pStyle w:val="ListParagraph"/>
        <w:numPr>
          <w:ilvl w:val="0"/>
          <w:numId w:val="2"/>
        </w:numPr>
        <w:spacing w:after="80" w:line="276"/>
      </w:pPr>
      <w:r>
        <w:rPr>
          <w:b/>
          <w:bCs/>
          <w:sz w:val="22"/>
          <w:szCs w:val="22"/>
        </w:rPr>
        <w:t xml:space="preserve">Consolidated Financial Statements: </w:t>
      </w:r>
      <w:r>
        <w:rPr>
          <w:sz w:val="22"/>
          <w:szCs w:val="22"/>
        </w:rPr>
        <w:t xml:space="preserve">the balance sheet, income statement, cash flow statement, and statement of shareholders' equity — parent plus controlled subsidiaries.</w:t>
      </w:r>
    </w:p>
    <w:p>
      <w:pPr>
        <w:pStyle w:val="ListParagraph"/>
        <w:numPr>
          <w:ilvl w:val="0"/>
          <w:numId w:val="2"/>
        </w:numPr>
        <w:spacing w:after="80" w:line="276"/>
      </w:pPr>
      <w:r>
        <w:rPr>
          <w:b/>
          <w:bCs/>
          <w:sz w:val="22"/>
          <w:szCs w:val="22"/>
        </w:rPr>
        <w:t xml:space="preserve">Footnotes: </w:t>
      </w:r>
      <w:r>
        <w:rPr>
          <w:sz w:val="22"/>
          <w:szCs w:val="22"/>
        </w:rPr>
        <w:t xml:space="preserve">essential detail on accounting policies, estimates, and other items needed to understand the statements. Notes vary by company; debt, revenue, and income-tax notes are near-universal.</w:t>
      </w:r>
    </w:p>
    <w:p>
      <w:pPr>
        <w:spacing w:after="120" w:line="276"/>
      </w:pPr>
      <w:r>
        <w:rPr>
          <w:sz w:val="22"/>
          <w:szCs w:val="22"/>
        </w:rPr>
        <w:t xml:space="preserve">These filings are available on the company's Investor Relations page, on financial websites, and on the SEC's site, sec.gov.</w:t>
      </w:r>
    </w:p>
    <w:p>
      <w:pPr>
        <w:pStyle w:val="Heading3"/>
        <w:spacing w:after="80" w:before="180"/>
      </w:pPr>
      <w:r>
        <w:rPr>
          <w:b/>
          <w:bCs/>
          <w:color w:val="1F3864"/>
          <w:sz w:val="24"/>
          <w:szCs w:val="24"/>
        </w:rPr>
        <w:t xml:space="preserve">Finding filings on SEC.gov (EDGAR)</w:t>
      </w:r>
    </w:p>
    <w:p>
      <w:pPr>
        <w:pStyle w:val="ListParagraph"/>
        <w:numPr>
          <w:ilvl w:val="0"/>
          <w:numId w:val="2"/>
        </w:numPr>
        <w:spacing w:after="80" w:line="276"/>
      </w:pPr>
      <w:r>
        <w:rPr>
          <w:sz w:val="22"/>
          <w:szCs w:val="22"/>
        </w:rPr>
        <w:t xml:space="preserve">Go to sec.gov and open "Company Filings" (top right).</w:t>
      </w:r>
    </w:p>
    <w:p>
      <w:pPr>
        <w:pStyle w:val="ListParagraph"/>
        <w:numPr>
          <w:ilvl w:val="0"/>
          <w:numId w:val="2"/>
        </w:numPr>
        <w:spacing w:after="80" w:line="276"/>
      </w:pPr>
      <w:r>
        <w:rPr>
          <w:sz w:val="22"/>
          <w:szCs w:val="22"/>
        </w:rPr>
        <w:t xml:space="preserve">Search by ticker (e.g., Microsoft is MSFT) or company name; tickers are usually more precise.</w:t>
      </w:r>
    </w:p>
    <w:p>
      <w:pPr>
        <w:pStyle w:val="ListParagraph"/>
        <w:numPr>
          <w:ilvl w:val="0"/>
          <w:numId w:val="2"/>
        </w:numPr>
        <w:spacing w:after="80" w:line="276"/>
      </w:pPr>
      <w:r>
        <w:rPr>
          <w:sz w:val="22"/>
          <w:szCs w:val="22"/>
        </w:rPr>
        <w:t xml:space="preserve">Open the 10-K or 10-Q; the "Interactive Data" view is often the most readable.</w:t>
      </w:r>
    </w:p>
    <w:p>
      <w:pPr>
        <w:pStyle w:val="ListParagraph"/>
        <w:numPr>
          <w:ilvl w:val="0"/>
          <w:numId w:val="2"/>
        </w:numPr>
        <w:spacing w:after="80" w:line="276"/>
      </w:pPr>
      <w:r>
        <w:rPr>
          <w:sz w:val="22"/>
          <w:szCs w:val="22"/>
        </w:rPr>
        <w:t xml:space="preserve">Use the left-hand navigation for the statements and notes, and look for an Excel download (often top-left).</w:t>
      </w:r>
    </w:p>
    <w:p>
      <w:pPr>
        <w:spacing w:after="120" w:line="276"/>
      </w:pPr>
      <w:r>
        <w:rPr>
          <w:sz w:val="22"/>
          <w:szCs w:val="22"/>
        </w:rPr>
        <w:t xml:space="preserve">Beyond formal filings, public companies also issue earnings announcements and press releases: after each quarter and year, they release results with management commentary and usually hold an earnings call with analysts. Markets watch closely because prices reflect expectations of future performance, so results and guidance can move the stock sharply. Other news — management changes, strategy, acquisitions, even competitor or industry developments — can move it too. Share-price information is freely available on financial sites such as Google Finance and Yahoo Finance, which provide real-time quotes, history, news, summaries, and analytical tools.</w:t>
      </w:r>
    </w:p>
    <w:p>
      <w:pPr>
        <w:pStyle w:val="Heading2"/>
        <w:spacing w:after="120" w:before="260"/>
      </w:pPr>
      <w:r>
        <w:rPr>
          <w:b/>
          <w:bCs/>
          <w:color w:val="1F3864"/>
          <w:sz w:val="28"/>
          <w:szCs w:val="28"/>
        </w:rPr>
        <w:t xml:space="preserve">Key Terms — Quick Reference</w:t>
      </w:r>
    </w:p>
    <w:p>
      <w:pPr>
        <w:spacing w:after="120" w:line="276"/>
      </w:pPr>
      <w:r>
        <w:rPr>
          <w:sz w:val="22"/>
          <w:szCs w:val="22"/>
        </w:rPr>
        <w:t xml:space="preserve">A short glossary of the core terms introduced above:</w:t>
      </w:r>
    </w:p>
    <w:p>
      <w:pPr>
        <w:pStyle w:val="ListParagraph"/>
        <w:numPr>
          <w:ilvl w:val="0"/>
          <w:numId w:val="2"/>
        </w:numPr>
        <w:spacing w:after="80" w:line="276"/>
      </w:pPr>
      <w:r>
        <w:rPr>
          <w:b/>
          <w:bCs/>
          <w:sz w:val="22"/>
          <w:szCs w:val="22"/>
        </w:rPr>
        <w:t xml:space="preserve">Accrual accounting: </w:t>
      </w:r>
      <w:r>
        <w:rPr>
          <w:sz w:val="22"/>
          <w:szCs w:val="22"/>
        </w:rPr>
        <w:t xml:space="preserve">recognizing revenue when earned and expenses when incurred, regardless of when cash moves.</w:t>
      </w:r>
    </w:p>
    <w:p>
      <w:pPr>
        <w:pStyle w:val="ListParagraph"/>
        <w:numPr>
          <w:ilvl w:val="0"/>
          <w:numId w:val="2"/>
        </w:numPr>
        <w:spacing w:after="80" w:line="276"/>
      </w:pPr>
      <w:r>
        <w:rPr>
          <w:b/>
          <w:bCs/>
          <w:sz w:val="22"/>
          <w:szCs w:val="22"/>
        </w:rPr>
        <w:t xml:space="preserve">Matching principle: </w:t>
      </w:r>
      <w:r>
        <w:rPr>
          <w:sz w:val="22"/>
          <w:szCs w:val="22"/>
        </w:rPr>
        <w:t xml:space="preserve">recording expenses in the same period as the revenues they help generate.</w:t>
      </w:r>
    </w:p>
    <w:p>
      <w:pPr>
        <w:pStyle w:val="ListParagraph"/>
        <w:numPr>
          <w:ilvl w:val="0"/>
          <w:numId w:val="2"/>
        </w:numPr>
        <w:spacing w:after="80" w:line="276"/>
      </w:pPr>
      <w:r>
        <w:rPr>
          <w:b/>
          <w:bCs/>
          <w:sz w:val="22"/>
          <w:szCs w:val="22"/>
        </w:rPr>
        <w:t xml:space="preserve">Conservatism: </w:t>
      </w:r>
      <w:r>
        <w:rPr>
          <w:sz w:val="22"/>
          <w:szCs w:val="22"/>
        </w:rPr>
        <w:t xml:space="preserve">recognizing probable losses early and gains only when realized.</w:t>
      </w:r>
    </w:p>
    <w:p>
      <w:pPr>
        <w:pStyle w:val="ListParagraph"/>
        <w:numPr>
          <w:ilvl w:val="0"/>
          <w:numId w:val="2"/>
        </w:numPr>
        <w:spacing w:after="80" w:line="276"/>
      </w:pPr>
      <w:r>
        <w:rPr>
          <w:b/>
          <w:bCs/>
          <w:sz w:val="22"/>
          <w:szCs w:val="22"/>
        </w:rPr>
        <w:t xml:space="preserve">Materiality: </w:t>
      </w:r>
      <w:r>
        <w:rPr>
          <w:sz w:val="22"/>
          <w:szCs w:val="22"/>
        </w:rPr>
        <w:t xml:space="preserve">an item matters if omitting or misstating it could affect users' decisions.</w:t>
      </w:r>
    </w:p>
    <w:p>
      <w:pPr>
        <w:pStyle w:val="ListParagraph"/>
        <w:numPr>
          <w:ilvl w:val="0"/>
          <w:numId w:val="2"/>
        </w:numPr>
        <w:spacing w:after="80" w:line="276"/>
      </w:pPr>
      <w:r>
        <w:rPr>
          <w:b/>
          <w:bCs/>
          <w:sz w:val="22"/>
          <w:szCs w:val="22"/>
        </w:rPr>
        <w:t xml:space="preserve">Full disclosure: </w:t>
      </w:r>
      <w:r>
        <w:rPr>
          <w:sz w:val="22"/>
          <w:szCs w:val="22"/>
        </w:rPr>
        <w:t xml:space="preserve">reporting all information relevant to users' decisions.</w:t>
      </w:r>
    </w:p>
    <w:p>
      <w:pPr>
        <w:pStyle w:val="ListParagraph"/>
        <w:numPr>
          <w:ilvl w:val="0"/>
          <w:numId w:val="2"/>
        </w:numPr>
        <w:spacing w:after="80" w:line="276"/>
      </w:pPr>
      <w:r>
        <w:rPr>
          <w:b/>
          <w:bCs/>
          <w:sz w:val="22"/>
          <w:szCs w:val="22"/>
        </w:rPr>
        <w:t xml:space="preserve">GAAP / IFRS: </w:t>
      </w:r>
      <w:r>
        <w:rPr>
          <w:sz w:val="22"/>
          <w:szCs w:val="22"/>
        </w:rPr>
        <w:t xml:space="preserve">the U.S. and international sets of accounting standards, respectively.</w:t>
      </w:r>
    </w:p>
    <w:p>
      <w:pPr>
        <w:pStyle w:val="ListParagraph"/>
        <w:numPr>
          <w:ilvl w:val="0"/>
          <w:numId w:val="2"/>
        </w:numPr>
        <w:spacing w:after="80" w:line="276"/>
      </w:pPr>
      <w:r>
        <w:rPr>
          <w:b/>
          <w:bCs/>
          <w:sz w:val="22"/>
          <w:szCs w:val="22"/>
        </w:rPr>
        <w:t xml:space="preserve">Balance sheet: </w:t>
      </w:r>
      <w:r>
        <w:rPr>
          <w:sz w:val="22"/>
          <w:szCs w:val="22"/>
        </w:rPr>
        <w:t xml:space="preserve">a point-in-time snapshot; Assets = Liabilities + Equity.</w:t>
      </w:r>
    </w:p>
    <w:p>
      <w:pPr>
        <w:pStyle w:val="ListParagraph"/>
        <w:numPr>
          <w:ilvl w:val="0"/>
          <w:numId w:val="2"/>
        </w:numPr>
        <w:spacing w:after="80" w:line="276"/>
      </w:pPr>
      <w:r>
        <w:rPr>
          <w:b/>
          <w:bCs/>
          <w:sz w:val="22"/>
          <w:szCs w:val="22"/>
        </w:rPr>
        <w:t xml:space="preserve">Income statement: </w:t>
      </w:r>
      <w:r>
        <w:rPr>
          <w:sz w:val="22"/>
          <w:szCs w:val="22"/>
        </w:rPr>
        <w:t xml:space="preserve">performance over a period; revenues minus expenses = net income.</w:t>
      </w:r>
    </w:p>
    <w:p>
      <w:pPr>
        <w:pStyle w:val="ListParagraph"/>
        <w:numPr>
          <w:ilvl w:val="0"/>
          <w:numId w:val="2"/>
        </w:numPr>
        <w:spacing w:after="80" w:line="276"/>
      </w:pPr>
      <w:r>
        <w:rPr>
          <w:b/>
          <w:bCs/>
          <w:sz w:val="22"/>
          <w:szCs w:val="22"/>
        </w:rPr>
        <w:t xml:space="preserve">Cash flow statement: </w:t>
      </w:r>
      <w:r>
        <w:rPr>
          <w:sz w:val="22"/>
          <w:szCs w:val="22"/>
        </w:rPr>
        <w:t xml:space="preserve">actual cash in and out, split into operating (CFO), investing (CFI), and financing (CFF).</w:t>
      </w:r>
    </w:p>
    <w:p>
      <w:pPr>
        <w:pStyle w:val="ListParagraph"/>
        <w:numPr>
          <w:ilvl w:val="0"/>
          <w:numId w:val="2"/>
        </w:numPr>
        <w:spacing w:after="80" w:line="276"/>
      </w:pPr>
      <w:r>
        <w:rPr>
          <w:b/>
          <w:bCs/>
          <w:sz w:val="22"/>
          <w:szCs w:val="22"/>
        </w:rPr>
        <w:t xml:space="preserve">Gross profit: </w:t>
      </w:r>
      <w:r>
        <w:rPr>
          <w:sz w:val="22"/>
          <w:szCs w:val="22"/>
        </w:rPr>
        <w:t xml:space="preserve">revenue minus cost of goods sold.</w:t>
      </w:r>
    </w:p>
    <w:p>
      <w:pPr>
        <w:pStyle w:val="ListParagraph"/>
        <w:numPr>
          <w:ilvl w:val="0"/>
          <w:numId w:val="2"/>
        </w:numPr>
        <w:spacing w:after="80" w:line="276"/>
      </w:pPr>
      <w:r>
        <w:rPr>
          <w:b/>
          <w:bCs/>
          <w:sz w:val="22"/>
          <w:szCs w:val="22"/>
        </w:rPr>
        <w:t xml:space="preserve">Operating profit (EBIT): </w:t>
      </w:r>
      <w:r>
        <w:rPr>
          <w:sz w:val="22"/>
          <w:szCs w:val="22"/>
        </w:rPr>
        <w:t xml:space="preserve">gross profit minus operating expenses; core-business profit before interest and taxes.</w:t>
      </w:r>
    </w:p>
    <w:p>
      <w:pPr>
        <w:pStyle w:val="ListParagraph"/>
        <w:numPr>
          <w:ilvl w:val="0"/>
          <w:numId w:val="2"/>
        </w:numPr>
        <w:spacing w:after="80" w:line="276"/>
      </w:pPr>
      <w:r>
        <w:rPr>
          <w:b/>
          <w:bCs/>
          <w:sz w:val="22"/>
          <w:szCs w:val="22"/>
        </w:rPr>
        <w:t xml:space="preserve">Net income: </w:t>
      </w:r>
      <w:r>
        <w:rPr>
          <w:sz w:val="22"/>
          <w:szCs w:val="22"/>
        </w:rPr>
        <w:t xml:space="preserve">the bottom line — profit after all expenses, including taxes.</w:t>
      </w:r>
    </w:p>
    <w:p>
      <w:pPr>
        <w:pStyle w:val="ListParagraph"/>
        <w:numPr>
          <w:ilvl w:val="0"/>
          <w:numId w:val="2"/>
        </w:numPr>
        <w:spacing w:after="80" w:line="276"/>
      </w:pPr>
      <w:r>
        <w:rPr>
          <w:b/>
          <w:bCs/>
          <w:sz w:val="22"/>
          <w:szCs w:val="22"/>
        </w:rPr>
        <w:t xml:space="preserve">Retained earnings: </w:t>
      </w:r>
      <w:r>
        <w:rPr>
          <w:sz w:val="22"/>
          <w:szCs w:val="22"/>
        </w:rPr>
        <w:t xml:space="preserve">cumulative net income kept in the business rather than paid out as dividends.</w:t>
      </w:r>
    </w:p>
    <w:p>
      <w:pPr>
        <w:pStyle w:val="ListParagraph"/>
        <w:numPr>
          <w:ilvl w:val="0"/>
          <w:numId w:val="2"/>
        </w:numPr>
        <w:spacing w:after="80" w:line="276"/>
      </w:pPr>
      <w:r>
        <w:rPr>
          <w:b/>
          <w:bCs/>
          <w:sz w:val="22"/>
          <w:szCs w:val="22"/>
        </w:rPr>
        <w:t xml:space="preserve">Book value vs. market value of equity: </w:t>
      </w:r>
      <w:r>
        <w:rPr>
          <w:sz w:val="22"/>
          <w:szCs w:val="22"/>
        </w:rPr>
        <w:t xml:space="preserve">equity as reported on the balance sheet versus the value implied by the share price.</w:t>
      </w:r>
    </w:p>
    <w:p>
      <w:pPr>
        <w:pStyle w:val="ListParagraph"/>
        <w:numPr>
          <w:ilvl w:val="0"/>
          <w:numId w:val="2"/>
        </w:numPr>
        <w:spacing w:after="80" w:line="276"/>
      </w:pPr>
      <w:r>
        <w:rPr>
          <w:b/>
          <w:bCs/>
          <w:sz w:val="22"/>
          <w:szCs w:val="22"/>
        </w:rPr>
        <w:t xml:space="preserve">10-K / 10-Q: </w:t>
      </w:r>
      <w:r>
        <w:rPr>
          <w:sz w:val="22"/>
          <w:szCs w:val="22"/>
        </w:rPr>
        <w:t xml:space="preserve">the audited annual and unaudited quarterly reports filed with the SEC.</w:t>
      </w:r>
    </w:p>
    <w:p>
      <w:pPr>
        <w:pStyle w:val="ListParagraph"/>
        <w:numPr>
          <w:ilvl w:val="0"/>
          <w:numId w:val="2"/>
        </w:numPr>
        <w:spacing w:after="80" w:line="276"/>
      </w:pPr>
      <w:r>
        <w:rPr>
          <w:b/>
          <w:bCs/>
          <w:sz w:val="22"/>
          <w:szCs w:val="22"/>
        </w:rPr>
        <w:t xml:space="preserve">MD&amp;A: </w:t>
      </w:r>
      <w:r>
        <w:rPr>
          <w:sz w:val="22"/>
          <w:szCs w:val="22"/>
        </w:rPr>
        <w:t xml:space="preserve">Management's Discussion and Analysis — management's narrative on the results.</w:t>
      </w:r>
    </w:p>
    <w:p>
      <w:pPr>
        <w:pStyle w:val="ListParagraph"/>
        <w:numPr>
          <w:ilvl w:val="0"/>
          <w:numId w:val="2"/>
        </w:numPr>
        <w:spacing w:after="80" w:line="276"/>
      </w:pPr>
      <w:r>
        <w:rPr>
          <w:b/>
          <w:bCs/>
          <w:sz w:val="22"/>
          <w:szCs w:val="22"/>
        </w:rPr>
        <w:t xml:space="preserve">Non-GAAP ("adjusted") measures: </w:t>
      </w:r>
      <w:r>
        <w:rPr>
          <w:sz w:val="22"/>
          <w:szCs w:val="22"/>
        </w:rPr>
        <w:t xml:space="preserve">company-defined metrics that exclude certain items; useful but to be read with caution.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2026-08-07T21:44:28.731Z</dcterms:created>
  <dcterms:modified xsi:type="dcterms:W3CDTF">2026-08-07T21:44:28.732Z</dcterms:modified>
</cp:coreProperties>
</file>

<file path=docProps/custom.xml><?xml version="1.0" encoding="utf-8"?>
<Properties xmlns="http://schemas.openxmlformats.org/officeDocument/2006/custom-properties" xmlns:vt="http://schemas.openxmlformats.org/officeDocument/2006/docPropsVTypes"/>
</file>