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120"/>
      </w:pPr>
      <w:r>
        <w:rPr>
          <w:b/>
          <w:bCs/>
          <w:color w:val="1F3864"/>
          <w:sz w:val="34"/>
          <w:szCs w:val="34"/>
        </w:rPr>
        <w:t xml:space="preserve">Summary Notes — The Balance Sheet</w:t>
      </w:r>
    </w:p>
    <w:p>
      <w:pPr>
        <w:spacing w:after="160"/>
      </w:pPr>
      <w:r>
        <w:rPr>
          <w:i/>
          <w:iCs/>
          <w:color w:val="595959"/>
          <w:sz w:val="22"/>
          <w:szCs w:val="22"/>
        </w:rPr>
        <w:t xml:space="preserve">Topic: Balance Sheet Details · A snapshot of financial position</w:t>
      </w:r>
    </w:p>
    <w:p>
      <w:pPr>
        <w:pStyle w:val="Heading2"/>
        <w:spacing w:after="120" w:before="260"/>
      </w:pPr>
      <w:r>
        <w:rPr>
          <w:b/>
          <w:bCs/>
          <w:color w:val="1F3864"/>
          <w:sz w:val="28"/>
          <w:szCs w:val="28"/>
        </w:rPr>
        <w:t xml:space="preserve">Balance Sheet Overview: A Snapshot of Financial Position</w:t>
      </w:r>
    </w:p>
    <w:p>
      <w:pPr>
        <w:spacing w:after="120" w:line="276"/>
      </w:pPr>
      <w:r>
        <w:rPr>
          <w:sz w:val="22"/>
          <w:szCs w:val="22"/>
        </w:rPr>
        <w:t xml:space="preserve">The balance sheet gives a snapshot of a company's financial position at a specific date — a financial X-ray. Where the income statement tells a story over a period, the balance sheet freezes the frame on a single day, letting executives assess capacity, risk, and opportunity.</w:t>
      </w:r>
    </w:p>
    <w:p>
      <w:pPr>
        <w:spacing w:after="120" w:line="276"/>
      </w:pPr>
      <w:r>
        <w:rPr>
          <w:sz w:val="22"/>
          <w:szCs w:val="22"/>
        </w:rPr>
        <w:t xml:space="preserve">It lays out what the company owns (assets), what it owes (liabilities), and the owners' stake (equity) as of that date. The principle underpinning it is the accounting equation:</w:t>
      </w:r>
    </w:p>
    <w:p>
      <w:pPr>
        <w:spacing w:after="120" w:before="40"/>
        <w:jc w:val="center"/>
      </w:pPr>
      <w:r>
        <w:rPr>
          <w:b/>
          <w:bCs/>
          <w:color w:val="1F3864"/>
          <w:sz w:val="22"/>
          <w:szCs w:val="22"/>
        </w:rPr>
        <w:t xml:space="preserve">Assets = Liabilities + Equity</w:t>
      </w:r>
    </w:p>
    <w:p>
      <w:pPr>
        <w:spacing w:after="120" w:line="276"/>
      </w:pPr>
      <w:r>
        <w:rPr>
          <w:sz w:val="22"/>
          <w:szCs w:val="22"/>
        </w:rPr>
        <w:t xml:space="preserve">One useful reading: everything a company has (assets) was financed either by borrowing (liabilities) or by owners' investment (equity). The equation must always balance — hence "balance sheet" — because every transaction touches at least two accounts.</w:t>
      </w:r>
    </w:p>
    <w:p>
      <w:pPr>
        <w:spacing w:after="120" w:line="276"/>
      </w:pPr>
      <w:r>
        <w:rPr>
          <w:sz w:val="22"/>
          <w:szCs w:val="22"/>
        </w:rPr>
        <w:t xml:space="preserve">A few quick examples show how the equation stays in balance:</w:t>
      </w:r>
    </w:p>
    <w:p>
      <w:pPr>
        <w:pStyle w:val="ListParagraph"/>
        <w:numPr>
          <w:ilvl w:val="0"/>
          <w:numId w:val="2"/>
        </w:numPr>
        <w:spacing w:after="80" w:line="276"/>
      </w:pPr>
      <w:r>
        <w:rPr>
          <w:sz w:val="22"/>
          <w:szCs w:val="22"/>
        </w:rPr>
        <w:t xml:space="preserve">Buy $50 of inventory on credit: inventory (an asset) rises $50 and accounts payable (a liability) rises $50.</w:t>
      </w:r>
    </w:p>
    <w:p>
      <w:pPr>
        <w:pStyle w:val="ListParagraph"/>
        <w:numPr>
          <w:ilvl w:val="0"/>
          <w:numId w:val="2"/>
        </w:numPr>
        <w:spacing w:after="80" w:line="276"/>
      </w:pPr>
      <w:r>
        <w:rPr>
          <w:sz w:val="22"/>
          <w:szCs w:val="22"/>
        </w:rPr>
        <w:t xml:space="preserve">Borrow $200 from a bank in cash: cash (an asset) rises $200 and debt (a liability) rises $200.</w:t>
      </w:r>
    </w:p>
    <w:p>
      <w:pPr>
        <w:pStyle w:val="ListParagraph"/>
        <w:numPr>
          <w:ilvl w:val="0"/>
          <w:numId w:val="2"/>
        </w:numPr>
        <w:spacing w:after="80" w:line="276"/>
      </w:pPr>
      <w:r>
        <w:rPr>
          <w:sz w:val="22"/>
          <w:szCs w:val="22"/>
        </w:rPr>
        <w:t xml:space="preserve">Buy back $100 of stock for cash: cash (an asset) falls $100 and equity falls $100.</w:t>
      </w:r>
    </w:p>
    <w:p>
      <w:pPr>
        <w:spacing w:after="120" w:line="276"/>
      </w:pPr>
      <w:r>
        <w:rPr>
          <w:sz w:val="22"/>
          <w:szCs w:val="22"/>
        </w:rPr>
        <w:t xml:space="preserve">In every case both sides move together, so Assets = Liabilities + Equity always holds.</w:t>
      </w:r>
    </w:p>
    <w:p>
      <w:pPr>
        <w:pStyle w:val="Heading2"/>
        <w:spacing w:after="120" w:before="260"/>
      </w:pPr>
      <w:r>
        <w:rPr>
          <w:b/>
          <w:bCs/>
          <w:color w:val="1F3864"/>
          <w:sz w:val="28"/>
          <w:szCs w:val="28"/>
        </w:rPr>
        <w:t xml:space="preserve">Assets</w:t>
      </w:r>
    </w:p>
    <w:p>
      <w:pPr>
        <w:spacing w:after="120" w:line="276"/>
      </w:pPr>
      <w:r>
        <w:rPr>
          <w:sz w:val="22"/>
          <w:szCs w:val="22"/>
        </w:rPr>
        <w:t xml:space="preserve">Assets are resources the company controls that provide future economic benefit — cash inflows or the capacity to reduce future outflows. To be recognized, an item must be:</w:t>
      </w:r>
    </w:p>
    <w:p>
      <w:pPr>
        <w:pStyle w:val="ListParagraph"/>
        <w:numPr>
          <w:ilvl w:val="0"/>
          <w:numId w:val="2"/>
        </w:numPr>
        <w:spacing w:after="80" w:line="276"/>
      </w:pPr>
      <w:r>
        <w:rPr>
          <w:b/>
          <w:bCs/>
          <w:sz w:val="22"/>
          <w:szCs w:val="22"/>
        </w:rPr>
        <w:t xml:space="preserve">Result of a past transaction: </w:t>
      </w:r>
      <w:r>
        <w:rPr>
          <w:sz w:val="22"/>
          <w:szCs w:val="22"/>
        </w:rPr>
        <w:t xml:space="preserve">acquired through a past event (buying equipment, delivering services on credit).</w:t>
      </w:r>
    </w:p>
    <w:p>
      <w:pPr>
        <w:pStyle w:val="ListParagraph"/>
        <w:numPr>
          <w:ilvl w:val="0"/>
          <w:numId w:val="2"/>
        </w:numPr>
        <w:spacing w:after="80" w:line="276"/>
      </w:pPr>
      <w:r>
        <w:rPr>
          <w:b/>
          <w:bCs/>
          <w:sz w:val="22"/>
          <w:szCs w:val="22"/>
        </w:rPr>
        <w:t xml:space="preserve">Controlled by the firm: </w:t>
      </w:r>
      <w:r>
        <w:rPr>
          <w:sz w:val="22"/>
          <w:szCs w:val="22"/>
        </w:rPr>
        <w:t xml:space="preserve">the company can direct its use and capture the benefit. Ownership usually implies control, but not always (leased assets).</w:t>
      </w:r>
    </w:p>
    <w:p>
      <w:pPr>
        <w:pStyle w:val="ListParagraph"/>
        <w:numPr>
          <w:ilvl w:val="0"/>
          <w:numId w:val="2"/>
        </w:numPr>
        <w:spacing w:after="80" w:line="276"/>
      </w:pPr>
      <w:r>
        <w:rPr>
          <w:b/>
          <w:bCs/>
          <w:sz w:val="22"/>
          <w:szCs w:val="22"/>
        </w:rPr>
        <w:t xml:space="preserve">Reasonably measurable: </w:t>
      </w:r>
      <w:r>
        <w:rPr>
          <w:sz w:val="22"/>
          <w:szCs w:val="22"/>
        </w:rPr>
        <w:t xml:space="preserve">its value can be stated in money terms.</w:t>
      </w:r>
    </w:p>
    <w:p>
      <w:pPr>
        <w:spacing w:after="120" w:line="276"/>
      </w:pPr>
      <w:r>
        <w:rPr>
          <w:sz w:val="22"/>
          <w:szCs w:val="22"/>
        </w:rPr>
        <w:t xml:space="preserve">Not every valuable resource is recorded. Internally generated assets — a strong brand (Apple), a unique culture — usually are NOT recognized, because their value is hard to measure objectively. But when a brand is acquired (Facebook buying Instagram), a price exists and the value can be recorded.</w:t>
      </w:r>
    </w:p>
    <w:p>
      <w:pPr>
        <w:pStyle w:val="Heading3"/>
        <w:spacing w:after="80" w:before="180"/>
      </w:pPr>
      <w:r>
        <w:rPr>
          <w:b/>
          <w:bCs/>
          <w:color w:val="1F3864"/>
          <w:sz w:val="24"/>
          <w:szCs w:val="24"/>
        </w:rPr>
        <w:t xml:space="preserve">Types of assets</w:t>
      </w:r>
    </w:p>
    <w:p>
      <w:pPr>
        <w:spacing w:after="120" w:line="276"/>
      </w:pPr>
      <w:r>
        <w:rPr>
          <w:b/>
          <w:bCs/>
          <w:sz w:val="22"/>
          <w:szCs w:val="22"/>
        </w:rPr>
        <w:t xml:space="preserve">Current vs. long-term: </w:t>
      </w:r>
      <w:r>
        <w:rPr>
          <w:sz w:val="22"/>
          <w:szCs w:val="22"/>
        </w:rPr>
        <w:t xml:space="preserve">current assets convert to cash, are used up, or are sold within a year or the operating cycle (cash, accounts receivable, inventory, short-term investments). Long-term assets benefit the company beyond a year — property, plant &amp; equipment (PP&amp;E, vital for Boeing or Caterpillar), long-term investments, and intangibles like patents and goodwill (important for pharma like Pfizer).</w:t>
      </w:r>
    </w:p>
    <w:p>
      <w:pPr>
        <w:spacing w:after="120" w:line="276"/>
      </w:pPr>
      <w:r>
        <w:rPr>
          <w:b/>
          <w:bCs/>
          <w:sz w:val="22"/>
          <w:szCs w:val="22"/>
        </w:rPr>
        <w:t xml:space="preserve">Tangible vs. intangible: </w:t>
      </w:r>
      <w:r>
        <w:rPr>
          <w:sz w:val="22"/>
          <w:szCs w:val="22"/>
        </w:rPr>
        <w:t xml:space="preserve">tangible assets have physical form (buildings, equipment, inventory); intangibles lack it but confer valuable rights (patents, trademarks, datasets, goodwill, content).</w:t>
      </w:r>
    </w:p>
    <w:p>
      <w:pPr>
        <w:spacing w:after="120" w:line="276"/>
      </w:pPr>
      <w:r>
        <w:rPr>
          <w:b/>
          <w:bCs/>
          <w:sz w:val="22"/>
          <w:szCs w:val="22"/>
        </w:rPr>
        <w:t xml:space="preserve">Monetary vs. non-monetary: </w:t>
      </w:r>
      <w:r>
        <w:rPr>
          <w:sz w:val="22"/>
          <w:szCs w:val="22"/>
        </w:rPr>
        <w:t xml:space="preserve">monetary assets are claims to a fixed amount of cash (cash, receivables, financial investments); non-monetary assets are not (inventory, PP&amp;E, intangibles).</w:t>
      </w:r>
    </w:p>
    <w:p>
      <w:pPr>
        <w:pStyle w:val="Heading3"/>
        <w:spacing w:after="80" w:before="180"/>
      </w:pPr>
      <w:r>
        <w:rPr>
          <w:b/>
          <w:bCs/>
          <w:color w:val="1F3864"/>
          <w:sz w:val="24"/>
          <w:szCs w:val="24"/>
        </w:rPr>
        <w:t xml:space="preserve">How assets are recorded: historical cost vs. fair value</w:t>
      </w:r>
    </w:p>
    <w:p>
      <w:pPr>
        <w:spacing w:after="120" w:line="276"/>
      </w:pPr>
      <w:r>
        <w:rPr>
          <w:b/>
          <w:bCs/>
          <w:sz w:val="22"/>
          <w:szCs w:val="22"/>
        </w:rPr>
        <w:t xml:space="preserve">Historical cost: </w:t>
      </w:r>
      <w:r>
        <w:rPr>
          <w:sz w:val="22"/>
          <w:szCs w:val="22"/>
        </w:rPr>
        <w:t xml:space="preserve">many long-term assets, especially PP&amp;E, are carried at original cost minus accumulated depreciation (the accounting for wear and tear over time). A Delta aircraft bought for $100M appears at cost less depreciation — usually well below $100M. Land is not depreciated (indefinite life). Assets at historical cost are NOT written up even with strong evidence of higher value — this reflects conservatism (favor understating over overstating).</w:t>
      </w:r>
    </w:p>
    <w:p>
      <w:pPr>
        <w:spacing w:after="120" w:line="276"/>
      </w:pPr>
      <w:r>
        <w:rPr>
          <w:b/>
          <w:bCs/>
          <w:sz w:val="22"/>
          <w:szCs w:val="22"/>
        </w:rPr>
        <w:t xml:space="preserve">Fair value: </w:t>
      </w:r>
      <w:r>
        <w:rPr>
          <w:sz w:val="22"/>
          <w:szCs w:val="22"/>
        </w:rPr>
        <w:t xml:space="preserve">actively traded assets — marketable securities like the stocks and bonds in Berkshire Hathaway's portfolio — are marked to their current market value at the balance-sheet date, because a reliable price is available.</w:t>
      </w:r>
    </w:p>
    <w:p>
      <w:pPr>
        <w:pStyle w:val="Heading3"/>
        <w:spacing w:after="80" w:before="180"/>
      </w:pPr>
      <w:r>
        <w:rPr>
          <w:b/>
          <w:bCs/>
          <w:color w:val="1F3864"/>
          <w:sz w:val="24"/>
          <w:szCs w:val="24"/>
        </w:rPr>
        <w:t xml:space="preserve">Examples of assets</w:t>
      </w:r>
    </w:p>
    <w:p>
      <w:pPr>
        <w:pStyle w:val="ListParagraph"/>
        <w:numPr>
          <w:ilvl w:val="0"/>
          <w:numId w:val="2"/>
        </w:numPr>
        <w:spacing w:after="80" w:line="276"/>
      </w:pPr>
      <w:r>
        <w:rPr>
          <w:b/>
          <w:bCs/>
          <w:sz w:val="22"/>
          <w:szCs w:val="22"/>
        </w:rPr>
        <w:t xml:space="preserve">Cash and cash equivalents: </w:t>
      </w:r>
      <w:r>
        <w:rPr>
          <w:sz w:val="22"/>
          <w:szCs w:val="22"/>
        </w:rPr>
        <w:t xml:space="preserve">cash plus highly liquid investments (money-market funds, short-term treasuries) convertible to cash within ~90 days.</w:t>
      </w:r>
    </w:p>
    <w:p>
      <w:pPr>
        <w:pStyle w:val="ListParagraph"/>
        <w:numPr>
          <w:ilvl w:val="0"/>
          <w:numId w:val="2"/>
        </w:numPr>
        <w:spacing w:after="80" w:line="276"/>
      </w:pPr>
      <w:r>
        <w:rPr>
          <w:b/>
          <w:bCs/>
          <w:sz w:val="22"/>
          <w:szCs w:val="22"/>
        </w:rPr>
        <w:t xml:space="preserve">Accounts receivable: </w:t>
      </w:r>
      <w:r>
        <w:rPr>
          <w:sz w:val="22"/>
          <w:szCs w:val="22"/>
        </w:rPr>
        <w:t xml:space="preserve">amounts owed by customers for goods or services delivered on credit — outstanding client invoices for a firm like Accenture.</w:t>
      </w:r>
    </w:p>
    <w:p>
      <w:pPr>
        <w:pStyle w:val="ListParagraph"/>
        <w:numPr>
          <w:ilvl w:val="0"/>
          <w:numId w:val="2"/>
        </w:numPr>
        <w:spacing w:after="80" w:line="276"/>
      </w:pPr>
      <w:r>
        <w:rPr>
          <w:b/>
          <w:bCs/>
          <w:sz w:val="22"/>
          <w:szCs w:val="22"/>
        </w:rPr>
        <w:t xml:space="preserve">Inventory: </w:t>
      </w:r>
      <w:r>
        <w:rPr>
          <w:sz w:val="22"/>
          <w:szCs w:val="22"/>
        </w:rPr>
        <w:t xml:space="preserve">merchandise, raw materials, work-in-progress, and finished goods held for sale — large for retailers (Amazon) and manufacturers (Tesla).</w:t>
      </w:r>
    </w:p>
    <w:p>
      <w:pPr>
        <w:pStyle w:val="ListParagraph"/>
        <w:numPr>
          <w:ilvl w:val="0"/>
          <w:numId w:val="2"/>
        </w:numPr>
        <w:spacing w:after="80" w:line="276"/>
      </w:pPr>
      <w:r>
        <w:rPr>
          <w:b/>
          <w:bCs/>
          <w:sz w:val="22"/>
          <w:szCs w:val="22"/>
        </w:rPr>
        <w:t xml:space="preserve">PP&amp;E: </w:t>
      </w:r>
      <w:r>
        <w:rPr>
          <w:sz w:val="22"/>
          <w:szCs w:val="22"/>
        </w:rPr>
        <w:t xml:space="preserve">tangible long-lived assets used in operations — GM's factories, machinery, and buildings.</w:t>
      </w:r>
    </w:p>
    <w:p>
      <w:pPr>
        <w:pStyle w:val="ListParagraph"/>
        <w:numPr>
          <w:ilvl w:val="0"/>
          <w:numId w:val="2"/>
        </w:numPr>
        <w:spacing w:after="80" w:line="276"/>
      </w:pPr>
      <w:r>
        <w:rPr>
          <w:b/>
          <w:bCs/>
          <w:sz w:val="22"/>
          <w:szCs w:val="22"/>
        </w:rPr>
        <w:t xml:space="preserve">Long-term investments: </w:t>
      </w:r>
      <w:r>
        <w:rPr>
          <w:sz w:val="22"/>
          <w:szCs w:val="22"/>
        </w:rPr>
        <w:t xml:space="preserve">debt or equity stakes in other companies held beyond a year.</w:t>
      </w:r>
    </w:p>
    <w:p>
      <w:pPr>
        <w:pStyle w:val="ListParagraph"/>
        <w:numPr>
          <w:ilvl w:val="0"/>
          <w:numId w:val="2"/>
        </w:numPr>
        <w:spacing w:after="80" w:line="276"/>
      </w:pPr>
      <w:r>
        <w:rPr>
          <w:b/>
          <w:bCs/>
          <w:sz w:val="22"/>
          <w:szCs w:val="22"/>
        </w:rPr>
        <w:t xml:space="preserve">Goodwill and other intangibles: </w:t>
      </w:r>
      <w:r>
        <w:rPr>
          <w:sz w:val="22"/>
          <w:szCs w:val="22"/>
        </w:rPr>
        <w:t xml:space="preserve">goodwill is the premium paid above the fair value of net identifiable assets in an acquisition (a large part of Microsoft's LinkedIn purchase). Other intangibles include patents (Gilead), acquired customer relationships, and brand names.</w:t>
      </w:r>
    </w:p>
    <w:p>
      <w:pPr>
        <w:pStyle w:val="Heading2"/>
        <w:spacing w:after="120" w:before="260"/>
      </w:pPr>
      <w:r>
        <w:rPr>
          <w:b/>
          <w:bCs/>
          <w:color w:val="1F3864"/>
          <w:sz w:val="28"/>
          <w:szCs w:val="28"/>
        </w:rPr>
        <w:t xml:space="preserve">Liabilities</w:t>
      </w:r>
    </w:p>
    <w:p>
      <w:pPr>
        <w:spacing w:after="120" w:line="276"/>
      </w:pPr>
      <w:r>
        <w:rPr>
          <w:sz w:val="22"/>
          <w:szCs w:val="22"/>
        </w:rPr>
        <w:t xml:space="preserve">Liabilities are obligations to other entities arising from past events that require transferring assets (usually cash) or providing goods or services. To be recognized, an obligation should be:</w:t>
      </w:r>
    </w:p>
    <w:p>
      <w:pPr>
        <w:pStyle w:val="ListParagraph"/>
        <w:numPr>
          <w:ilvl w:val="0"/>
          <w:numId w:val="2"/>
        </w:numPr>
        <w:spacing w:after="80" w:line="276"/>
      </w:pPr>
      <w:r>
        <w:rPr>
          <w:b/>
          <w:bCs/>
          <w:sz w:val="22"/>
          <w:szCs w:val="22"/>
        </w:rPr>
        <w:t xml:space="preserve">Probable: </w:t>
      </w:r>
      <w:r>
        <w:rPr>
          <w:sz w:val="22"/>
          <w:szCs w:val="22"/>
        </w:rPr>
        <w:t xml:space="preserve">more likely than not that an economic sacrifice will be required (e.g., the Volkswagen emissions litigation); details appear in the footnotes.</w:t>
      </w:r>
    </w:p>
    <w:p>
      <w:pPr>
        <w:pStyle w:val="ListParagraph"/>
        <w:numPr>
          <w:ilvl w:val="0"/>
          <w:numId w:val="2"/>
        </w:numPr>
        <w:spacing w:after="80" w:line="276"/>
      </w:pPr>
      <w:r>
        <w:rPr>
          <w:b/>
          <w:bCs/>
          <w:sz w:val="22"/>
          <w:szCs w:val="22"/>
        </w:rPr>
        <w:t xml:space="preserve">Reasonably estimable: </w:t>
      </w:r>
      <w:r>
        <w:rPr>
          <w:sz w:val="22"/>
          <w:szCs w:val="22"/>
        </w:rPr>
        <w:t xml:space="preserve">the amount can be reasonably estimated.</w:t>
      </w:r>
    </w:p>
    <w:p>
      <w:pPr>
        <w:pStyle w:val="ListParagraph"/>
        <w:numPr>
          <w:ilvl w:val="0"/>
          <w:numId w:val="2"/>
        </w:numPr>
        <w:spacing w:after="80" w:line="276"/>
      </w:pPr>
      <w:r>
        <w:rPr>
          <w:b/>
          <w:bCs/>
          <w:sz w:val="22"/>
          <w:szCs w:val="22"/>
        </w:rPr>
        <w:t xml:space="preserve">Due to a past transaction: </w:t>
      </w:r>
      <w:r>
        <w:rPr>
          <w:sz w:val="22"/>
          <w:szCs w:val="22"/>
        </w:rPr>
        <w:t xml:space="preserve">the obligation arose from a past event.</w:t>
      </w:r>
    </w:p>
    <w:p>
      <w:pPr>
        <w:pStyle w:val="Heading3"/>
        <w:spacing w:after="80" w:before="180"/>
      </w:pPr>
      <w:r>
        <w:rPr>
          <w:b/>
          <w:bCs/>
          <w:color w:val="1F3864"/>
          <w:sz w:val="24"/>
          <w:szCs w:val="24"/>
        </w:rPr>
        <w:t xml:space="preserve">Classifying liabilities</w:t>
      </w:r>
    </w:p>
    <w:p>
      <w:pPr>
        <w:spacing w:after="120" w:line="276"/>
      </w:pPr>
      <w:r>
        <w:rPr>
          <w:b/>
          <w:bCs/>
          <w:sz w:val="22"/>
          <w:szCs w:val="22"/>
        </w:rPr>
        <w:t xml:space="preserve">Current vs. non-current: </w:t>
      </w:r>
      <w:r>
        <w:rPr>
          <w:sz w:val="22"/>
          <w:szCs w:val="22"/>
        </w:rPr>
        <w:t xml:space="preserve">current liabilities settle within a year or the operating cycle — accounts payable (large for retailers like Target), salaries payable, deferred revenue (big for airlines and subscriptions), short-term loans, and the current portion of long-term debt. Non-current liabilities settle later — long-term loans, bonds payable (available to large issuers like AT&amp;T), deferred tax liabilities, and pensions.</w:t>
      </w:r>
    </w:p>
    <w:p>
      <w:pPr>
        <w:spacing w:after="120" w:line="276"/>
      </w:pPr>
      <w:r>
        <w:rPr>
          <w:b/>
          <w:bCs/>
          <w:sz w:val="22"/>
          <w:szCs w:val="22"/>
        </w:rPr>
        <w:t xml:space="preserve">Operating vs. financial: </w:t>
      </w:r>
      <w:r>
        <w:rPr>
          <w:sz w:val="22"/>
          <w:szCs w:val="22"/>
        </w:rPr>
        <w:t xml:space="preserve">operating liabilities come from day-to-day business (payables, salaries payable, deferred revenue); financial liabilities come from financing the business (short- and long-term debt).</w:t>
      </w:r>
    </w:p>
    <w:p>
      <w:pPr>
        <w:pStyle w:val="Heading3"/>
        <w:spacing w:after="80" w:before="180"/>
      </w:pPr>
      <w:r>
        <w:rPr>
          <w:b/>
          <w:bCs/>
          <w:color w:val="1F3864"/>
          <w:sz w:val="24"/>
          <w:szCs w:val="24"/>
        </w:rPr>
        <w:t xml:space="preserve">Recording liabilities: certainty and contingencies</w:t>
      </w:r>
    </w:p>
    <w:p>
      <w:pPr>
        <w:spacing w:after="120" w:line="276"/>
      </w:pPr>
      <w:r>
        <w:rPr>
          <w:sz w:val="22"/>
          <w:szCs w:val="22"/>
        </w:rPr>
        <w:t xml:space="preserve">Often the amount and timing are clear (a bank loan with a fixed schedule). Contingent liabilities — which depend on a future event — require judgment, and the assessment is subjective:</w:t>
      </w:r>
    </w:p>
    <w:p>
      <w:pPr>
        <w:pStyle w:val="ListParagraph"/>
        <w:numPr>
          <w:ilvl w:val="0"/>
          <w:numId w:val="2"/>
        </w:numPr>
        <w:spacing w:after="80" w:line="276"/>
      </w:pPr>
      <w:r>
        <w:rPr>
          <w:b/>
          <w:bCs/>
          <w:sz w:val="22"/>
          <w:szCs w:val="22"/>
        </w:rPr>
        <w:t xml:space="preserve">Probable and estimable: </w:t>
      </w:r>
      <w:r>
        <w:rPr>
          <w:sz w:val="22"/>
          <w:szCs w:val="22"/>
        </w:rPr>
        <w:t xml:space="preserve">record the liability and a matching expense. If VW judges an emissions payout probable and can estimate the range, it books a liability; the footnotes explain.</w:t>
      </w:r>
    </w:p>
    <w:p>
      <w:pPr>
        <w:pStyle w:val="ListParagraph"/>
        <w:numPr>
          <w:ilvl w:val="0"/>
          <w:numId w:val="2"/>
        </w:numPr>
        <w:spacing w:after="80" w:line="276"/>
      </w:pPr>
      <w:r>
        <w:rPr>
          <w:b/>
          <w:bCs/>
          <w:sz w:val="22"/>
          <w:szCs w:val="22"/>
        </w:rPr>
        <w:t xml:space="preserve">Probable but not estimable: </w:t>
      </w:r>
      <w:r>
        <w:rPr>
          <w:sz w:val="22"/>
          <w:szCs w:val="22"/>
        </w:rPr>
        <w:t xml:space="preserve">do not record — but disclose in the footnotes under "Commitments and Contingencies."</w:t>
      </w:r>
    </w:p>
    <w:p>
      <w:pPr>
        <w:pStyle w:val="ListParagraph"/>
        <w:numPr>
          <w:ilvl w:val="0"/>
          <w:numId w:val="2"/>
        </w:numPr>
        <w:spacing w:after="80" w:line="276"/>
      </w:pPr>
      <w:r>
        <w:rPr>
          <w:b/>
          <w:bCs/>
          <w:sz w:val="22"/>
          <w:szCs w:val="22"/>
        </w:rPr>
        <w:t xml:space="preserve">Remote: </w:t>
      </w:r>
      <w:r>
        <w:rPr>
          <w:sz w:val="22"/>
          <w:szCs w:val="22"/>
        </w:rPr>
        <w:t xml:space="preserve">no recording and no disclosure required.</w:t>
      </w:r>
    </w:p>
    <w:p>
      <w:pPr>
        <w:pStyle w:val="Heading3"/>
        <w:spacing w:after="80" w:before="180"/>
      </w:pPr>
      <w:r>
        <w:rPr>
          <w:b/>
          <w:bCs/>
          <w:color w:val="1F3864"/>
          <w:sz w:val="24"/>
          <w:szCs w:val="24"/>
        </w:rPr>
        <w:t xml:space="preserve">Examples of liabilities</w:t>
      </w:r>
    </w:p>
    <w:p>
      <w:pPr>
        <w:pStyle w:val="ListParagraph"/>
        <w:numPr>
          <w:ilvl w:val="0"/>
          <w:numId w:val="2"/>
        </w:numPr>
        <w:spacing w:after="80" w:line="276"/>
      </w:pPr>
      <w:r>
        <w:rPr>
          <w:b/>
          <w:bCs/>
          <w:sz w:val="22"/>
          <w:szCs w:val="22"/>
        </w:rPr>
        <w:t xml:space="preserve">Accounts payable: </w:t>
      </w:r>
      <w:r>
        <w:rPr>
          <w:sz w:val="22"/>
          <w:szCs w:val="22"/>
        </w:rPr>
        <w:t xml:space="preserve">owed to suppliers for purchases on credit.</w:t>
      </w:r>
    </w:p>
    <w:p>
      <w:pPr>
        <w:pStyle w:val="ListParagraph"/>
        <w:numPr>
          <w:ilvl w:val="0"/>
          <w:numId w:val="2"/>
        </w:numPr>
        <w:spacing w:after="80" w:line="276"/>
      </w:pPr>
      <w:r>
        <w:rPr>
          <w:b/>
          <w:bCs/>
          <w:sz w:val="22"/>
          <w:szCs w:val="22"/>
        </w:rPr>
        <w:t xml:space="preserve">Accrued expenses: </w:t>
      </w:r>
      <w:r>
        <w:rPr>
          <w:sz w:val="22"/>
          <w:szCs w:val="22"/>
        </w:rPr>
        <w:t xml:space="preserve">incurred but not yet paid — salaries, interest, taxes payable.</w:t>
      </w:r>
    </w:p>
    <w:p>
      <w:pPr>
        <w:pStyle w:val="ListParagraph"/>
        <w:numPr>
          <w:ilvl w:val="0"/>
          <w:numId w:val="2"/>
        </w:numPr>
        <w:spacing w:after="80" w:line="276"/>
      </w:pPr>
      <w:r>
        <w:rPr>
          <w:b/>
          <w:bCs/>
          <w:sz w:val="22"/>
          <w:szCs w:val="22"/>
        </w:rPr>
        <w:t xml:space="preserve">Current portion of long-term debt / short-term debt: </w:t>
      </w:r>
      <w:r>
        <w:rPr>
          <w:sz w:val="22"/>
          <w:szCs w:val="22"/>
        </w:rPr>
        <w:t xml:space="preserve">the piece due within a year.</w:t>
      </w:r>
    </w:p>
    <w:p>
      <w:pPr>
        <w:pStyle w:val="ListParagraph"/>
        <w:numPr>
          <w:ilvl w:val="0"/>
          <w:numId w:val="2"/>
        </w:numPr>
        <w:spacing w:after="80" w:line="276"/>
      </w:pPr>
      <w:r>
        <w:rPr>
          <w:b/>
          <w:bCs/>
          <w:sz w:val="22"/>
          <w:szCs w:val="22"/>
        </w:rPr>
        <w:t xml:space="preserve">Deferred revenue: </w:t>
      </w:r>
      <w:r>
        <w:rPr>
          <w:sz w:val="22"/>
          <w:szCs w:val="22"/>
        </w:rPr>
        <w:t xml:space="preserve">cash received for goods or services not yet delivered — large for subscriptions (Salesforce) and naturally prepaid industries (hospitality, travel).</w:t>
      </w:r>
    </w:p>
    <w:p>
      <w:pPr>
        <w:pStyle w:val="ListParagraph"/>
        <w:numPr>
          <w:ilvl w:val="0"/>
          <w:numId w:val="2"/>
        </w:numPr>
        <w:spacing w:after="80" w:line="276"/>
      </w:pPr>
      <w:r>
        <w:rPr>
          <w:b/>
          <w:bCs/>
          <w:sz w:val="22"/>
          <w:szCs w:val="22"/>
        </w:rPr>
        <w:t xml:space="preserve">Long-term debt: </w:t>
      </w:r>
      <w:r>
        <w:rPr>
          <w:sz w:val="22"/>
          <w:szCs w:val="22"/>
        </w:rPr>
        <w:t xml:space="preserve">loans and bonds repaid beyond one year.</w:t>
      </w:r>
    </w:p>
    <w:p>
      <w:pPr>
        <w:pStyle w:val="ListParagraph"/>
        <w:numPr>
          <w:ilvl w:val="0"/>
          <w:numId w:val="2"/>
        </w:numPr>
        <w:spacing w:after="80" w:line="276"/>
      </w:pPr>
      <w:r>
        <w:rPr>
          <w:b/>
          <w:bCs/>
          <w:sz w:val="22"/>
          <w:szCs w:val="22"/>
        </w:rPr>
        <w:t xml:space="preserve">Other long-term obligations: </w:t>
      </w:r>
      <w:r>
        <w:rPr>
          <w:sz w:val="22"/>
          <w:szCs w:val="22"/>
        </w:rPr>
        <w:t xml:space="preserve">pensions, deferred taxes, long-term leases.</w:t>
      </w:r>
    </w:p>
    <w:p>
      <w:pPr>
        <w:pStyle w:val="Heading2"/>
        <w:spacing w:after="120" w:before="260"/>
      </w:pPr>
      <w:r>
        <w:rPr>
          <w:b/>
          <w:bCs/>
          <w:color w:val="1F3864"/>
          <w:sz w:val="28"/>
          <w:szCs w:val="28"/>
        </w:rPr>
        <w:t xml:space="preserve">Equity</w:t>
      </w:r>
    </w:p>
    <w:p>
      <w:pPr>
        <w:spacing w:after="120" w:line="276"/>
      </w:pPr>
      <w:r>
        <w:rPr>
          <w:sz w:val="22"/>
          <w:szCs w:val="22"/>
        </w:rPr>
        <w:t xml:space="preserve">Equity is the capital provided by shareholders plus accumulated earnings — the residual interest in assets after deducting liabilities, i.e., net worth from the owners' view. It consists of:</w:t>
      </w:r>
    </w:p>
    <w:p>
      <w:pPr>
        <w:spacing w:after="120" w:line="276"/>
      </w:pPr>
      <w:r>
        <w:rPr>
          <w:b/>
          <w:bCs/>
          <w:sz w:val="22"/>
          <w:szCs w:val="22"/>
        </w:rPr>
        <w:t xml:space="preserve">Contributed capital (common stock + additional paid-in capital): </w:t>
      </w:r>
      <w:r>
        <w:rPr>
          <w:sz w:val="22"/>
          <w:szCs w:val="22"/>
        </w:rPr>
        <w:t xml:space="preserve">what shareholders invested directly in exchange for shares. Common stock often reflects par value; additional paid-in capital is the amount above par. This captures the historical issue price.</w:t>
      </w:r>
    </w:p>
    <w:p>
      <w:pPr>
        <w:spacing w:after="120" w:line="276"/>
      </w:pPr>
      <w:r>
        <w:rPr>
          <w:b/>
          <w:bCs/>
          <w:sz w:val="22"/>
          <w:szCs w:val="22"/>
        </w:rPr>
        <w:t xml:space="preserve">Earned capital (retained earnings): </w:t>
      </w:r>
      <w:r>
        <w:rPr>
          <w:sz w:val="22"/>
          <w:szCs w:val="22"/>
        </w:rPr>
        <w:t xml:space="preserve">accumulated net income not distributed to shareholders — reinvested to fund growth.</w:t>
      </w:r>
    </w:p>
    <w:p>
      <w:pPr>
        <w:spacing w:after="120" w:before="40"/>
        <w:jc w:val="center"/>
      </w:pPr>
      <w:r>
        <w:rPr>
          <w:b/>
          <w:bCs/>
          <w:color w:val="1F3864"/>
          <w:sz w:val="22"/>
          <w:szCs w:val="22"/>
        </w:rPr>
        <w:t xml:space="preserve">Ending RE = Beginning RE + Net Income − Dividends − Share Repurchases</w:t>
      </w:r>
    </w:p>
    <w:p>
      <w:pPr>
        <w:spacing w:after="120" w:line="276"/>
      </w:pPr>
      <w:r>
        <w:rPr>
          <w:sz w:val="22"/>
          <w:szCs w:val="22"/>
        </w:rPr>
        <w:t xml:space="preserve">Retained earnings can be negative — when distributions exceed cumulative earnings (common for mature companies returning lots of cash) or when a young company hasn't yet turned a profit.</w:t>
      </w:r>
    </w:p>
    <w:p>
      <w:pPr>
        <w:spacing w:after="120" w:line="276"/>
      </w:pPr>
      <w:r>
        <w:rPr>
          <w:sz w:val="22"/>
          <w:szCs w:val="22"/>
        </w:rPr>
        <w:t xml:space="preserve">In fact, a company's entire book equity can turn negative. After many years of share buybacks and dividends — often funded partly with debt — both McDonald's and Starbucks report negative book equity, even though each is a healthy, profitable company worth tens of billions. Buybacks reduce equity (and retained earnings), so book value can understate the business dramatically. The accounting equation still balances; the assets are simply financed more by liabilities and less by equity. It is a memorable reminder that book equity is not the same as a company's value.</w:t>
      </w:r>
    </w:p>
    <w:p>
      <w:pPr>
        <w:spacing w:after="120" w:line="276"/>
      </w:pPr>
      <w:r>
        <w:rPr>
          <w:b/>
          <w:bCs/>
          <w:sz w:val="22"/>
          <w:szCs w:val="22"/>
        </w:rPr>
        <w:t xml:space="preserve">Other adjustments: </w:t>
      </w:r>
      <w:r>
        <w:rPr>
          <w:sz w:val="22"/>
          <w:szCs w:val="22"/>
        </w:rPr>
        <w:t xml:space="preserve">accumulated other comprehensive income (loss) captures certain unrealized gains/losses (e.g., foreign-currency translation) not run through net income.</w:t>
      </w:r>
    </w:p>
    <w:p>
      <w:pPr>
        <w:pStyle w:val="Heading3"/>
        <w:spacing w:after="80" w:before="180"/>
      </w:pPr>
      <w:r>
        <w:rPr>
          <w:b/>
          <w:bCs/>
          <w:color w:val="1F3864"/>
          <w:sz w:val="24"/>
          <w:szCs w:val="24"/>
        </w:rPr>
        <w:t xml:space="preserve">Market value vs. book value of equity</w:t>
      </w:r>
    </w:p>
    <w:p>
      <w:pPr>
        <w:spacing w:after="120" w:line="276"/>
      </w:pPr>
      <w:r>
        <w:rPr>
          <w:sz w:val="22"/>
          <w:szCs w:val="22"/>
        </w:rPr>
        <w:t xml:space="preserve">The equity on the balance sheet is book value — based on historical shareholder investment and retained earnings since inception. Market value (market capitalization) is current share price times shares outstanding, and the price reflects expectations of future performance. The two often differ sharply, usually with market value far higher, because of:</w:t>
      </w:r>
    </w:p>
    <w:p>
      <w:pPr>
        <w:pStyle w:val="ListParagraph"/>
        <w:numPr>
          <w:ilvl w:val="0"/>
          <w:numId w:val="2"/>
        </w:numPr>
        <w:spacing w:after="80" w:line="276"/>
      </w:pPr>
      <w:r>
        <w:rPr>
          <w:b/>
          <w:bCs/>
          <w:sz w:val="22"/>
          <w:szCs w:val="22"/>
        </w:rPr>
        <w:t xml:space="preserve">GAAP and historical cost: </w:t>
      </w:r>
      <w:r>
        <w:rPr>
          <w:sz w:val="22"/>
          <w:szCs w:val="22"/>
        </w:rPr>
        <w:t xml:space="preserve">assets and liabilities are largely at historical cost. Land Disney bought decades ago sits at original cost, likely far below today's value.</w:t>
      </w:r>
    </w:p>
    <w:p>
      <w:pPr>
        <w:pStyle w:val="ListParagraph"/>
        <w:numPr>
          <w:ilvl w:val="0"/>
          <w:numId w:val="2"/>
        </w:numPr>
        <w:spacing w:after="80" w:line="276"/>
      </w:pPr>
      <w:r>
        <w:rPr>
          <w:b/>
          <w:bCs/>
          <w:sz w:val="22"/>
          <w:szCs w:val="22"/>
        </w:rPr>
        <w:t xml:space="preserve">Unrecorded intangibles: </w:t>
      </w:r>
      <w:r>
        <w:rPr>
          <w:sz w:val="22"/>
          <w:szCs w:val="22"/>
        </w:rPr>
        <w:t xml:space="preserve">internally built brands, customer loyalty, and IP are generally not on the balance sheet — yet Google's search algorithm, Amazon's logistics network, Apple's brand, and Microsoft's AI talent drive enormous market value.</w:t>
      </w:r>
    </w:p>
    <w:p>
      <w:pPr>
        <w:pStyle w:val="ListParagraph"/>
        <w:numPr>
          <w:ilvl w:val="0"/>
          <w:numId w:val="2"/>
        </w:numPr>
        <w:spacing w:after="80" w:line="276"/>
      </w:pPr>
      <w:r>
        <w:rPr>
          <w:b/>
          <w:bCs/>
          <w:sz w:val="22"/>
          <w:szCs w:val="22"/>
        </w:rPr>
        <w:t xml:space="preserve">Future expectations: </w:t>
      </w:r>
      <w:r>
        <w:rPr>
          <w:sz w:val="22"/>
          <w:szCs w:val="22"/>
        </w:rPr>
        <w:t xml:space="preserve">market value reflects anticipated growth and profitability; the balance sheet, a historical snapshot, does not. A high-growth name like Netflix trades well above book value.</w:t>
      </w:r>
    </w:p>
    <w:p>
      <w:pPr>
        <w:spacing w:after="120" w:line="276"/>
      </w:pPr>
      <w:r>
        <w:rPr>
          <w:sz w:val="22"/>
          <w:szCs w:val="22"/>
        </w:rPr>
        <w:t xml:space="preserve">How wide this gap runs depends on the business model. An asset-heavy company — an airline or a utility, whose value sits largely in physical assets already on the books — tends to trade closer to book value, while an asset-light, intangible-driven company such as a software firm trades far above it. That difference is exactly why the market-to-book ratio varies so widely across industries.</w:t>
      </w:r>
    </w:p>
    <w:p>
      <w:pPr>
        <w:pStyle w:val="Heading2"/>
        <w:spacing w:after="120" w:before="260"/>
      </w:pPr>
      <w:r>
        <w:rPr>
          <w:b/>
          <w:bCs/>
          <w:color w:val="1F3864"/>
          <w:sz w:val="28"/>
          <w:szCs w:val="28"/>
        </w:rPr>
        <w:t xml:space="preserve">Important Notes for Interpretation</w:t>
      </w:r>
    </w:p>
    <w:p>
      <w:pPr>
        <w:spacing w:after="120" w:line="276"/>
      </w:pPr>
      <w:r>
        <w:rPr>
          <w:b/>
          <w:bCs/>
          <w:sz w:val="22"/>
          <w:szCs w:val="22"/>
        </w:rPr>
        <w:t xml:space="preserve">Off-balance-sheet items: </w:t>
      </w:r>
      <w:r>
        <w:rPr>
          <w:sz w:val="22"/>
          <w:szCs w:val="22"/>
        </w:rPr>
        <w:t xml:space="preserve">some assets and liabilities aren't recorded due to accounting rules (e.g., internally developed brands). We won't dig into these in this course, but it helps to know such arrangements exist. The leases footnote is a good place to explore this — operating leases were historically kept off the balance sheet and now appear on it, with the footnote laying out the underlying commitments.</w:t>
      </w:r>
    </w:p>
    <w:p>
      <w:pPr>
        <w:spacing w:after="120" w:line="276"/>
      </w:pPr>
      <w:r>
        <w:rPr>
          <w:b/>
          <w:bCs/>
          <w:sz w:val="22"/>
          <w:szCs w:val="22"/>
        </w:rPr>
        <w:t xml:space="preserve">Valuation methods: </w:t>
      </w:r>
      <w:r>
        <w:rPr>
          <w:sz w:val="22"/>
          <w:szCs w:val="22"/>
        </w:rPr>
        <w:t xml:space="preserve">most monetary assets are at fair value when available; non-monetary assets are usually at historical cost less depreciation — which can undervalue assets whose market value has risen (the land example).</w:t>
      </w:r>
    </w:p>
    <w:p>
      <w:pPr>
        <w:spacing w:after="120" w:line="276"/>
      </w:pPr>
      <w:r>
        <w:rPr>
          <w:b/>
          <w:bCs/>
          <w:sz w:val="22"/>
          <w:szCs w:val="22"/>
        </w:rPr>
        <w:t xml:space="preserve">Management discretion: </w:t>
      </w:r>
      <w:r>
        <w:rPr>
          <w:sz w:val="22"/>
          <w:szCs w:val="22"/>
        </w:rPr>
        <w:t xml:space="preserve">some values rest on estimates — useful lives for depreciation, goodwill and intangible valuations — introducing subjectivity. For example, in 2024 Walgreens recorded a $12.4 billion goodwill impairment on its VillageMD clinic investment (about $5.8B after tax) after the business badly missed forecasts. Goodwill isn't cash-tested — it is the premium paid in an acquisition, carried until an annual impairment test judges it worth less — so a large balance-sheet asset can vanish in a single quarter. Understanding management's assumptions is key to critical analysis.</w:t>
      </w:r>
    </w:p>
    <w:p>
      <w:pPr>
        <w:spacing w:after="120" w:line="276"/>
      </w:pPr>
      <w:r>
        <w:rPr>
          <w:b/>
          <w:bCs/>
          <w:sz w:val="22"/>
          <w:szCs w:val="22"/>
        </w:rPr>
        <w:t xml:space="preserve">Book vs. market value: </w:t>
      </w:r>
      <w:r>
        <w:rPr>
          <w:sz w:val="22"/>
          <w:szCs w:val="22"/>
        </w:rPr>
        <w:t xml:space="preserve">the gap is often substantial, especially now that the most valuable businesses derive value from intangibles. Book value is historical; market value reflects current sentiment and future expectations.</w:t>
      </w:r>
    </w:p>
    <w:p>
      <w:pPr>
        <w:spacing w:after="120" w:line="276"/>
      </w:pPr>
      <w:r>
        <w:rPr>
          <w:b/>
          <w:bCs/>
          <w:sz w:val="22"/>
          <w:szCs w:val="22"/>
        </w:rPr>
        <w:t xml:space="preserve">Point-in-time snapshot: </w:t>
      </w:r>
      <w:r>
        <w:rPr>
          <w:sz w:val="22"/>
          <w:szCs w:val="22"/>
        </w:rPr>
        <w:t xml:space="preserve">the balance sheet is a single moment; it doesn't show the flow of transactions between reporting dates.</w:t>
      </w:r>
    </w:p>
    <w:p>
      <w:pPr>
        <w:pStyle w:val="Heading2"/>
        <w:spacing w:after="120" w:before="260"/>
      </w:pPr>
      <w:r>
        <w:rPr>
          <w:b/>
          <w:bCs/>
          <w:color w:val="1F3864"/>
          <w:sz w:val="28"/>
          <w:szCs w:val="28"/>
        </w:rPr>
        <w:t xml:space="preserve">Key Ratios for Analysis</w:t>
      </w:r>
    </w:p>
    <w:p>
      <w:pPr>
        <w:spacing w:after="120" w:line="276"/>
      </w:pPr>
      <w:r>
        <w:rPr>
          <w:b/>
          <w:bCs/>
          <w:sz w:val="22"/>
          <w:szCs w:val="22"/>
        </w:rPr>
        <w:t xml:space="preserve">Current Ratio = Current Assets / Current Liabilities: </w:t>
      </w:r>
      <w:r>
        <w:rPr>
          <w:sz w:val="22"/>
          <w:szCs w:val="22"/>
        </w:rPr>
        <w:t xml:space="preserve">ability to meet short-term obligations. Above 1 generally signals healthy liquidity; too high may mean idle cash or excess inventory (watch how Amazon manages inventory). Limitation: it assumes current assets convert to cash quickly — much of Boeing's current assets are aircraft awaiting delivery, which may be delayed.</w:t>
      </w:r>
    </w:p>
    <w:p>
      <w:pPr>
        <w:spacing w:after="120" w:line="276"/>
      </w:pPr>
      <w:r>
        <w:rPr>
          <w:b/>
          <w:bCs/>
          <w:sz w:val="22"/>
          <w:szCs w:val="22"/>
        </w:rPr>
        <w:t xml:space="preserve">Debt-to-Equity (or Debt-to-Total-Assets): </w:t>
      </w:r>
      <w:r>
        <w:rPr>
          <w:sz w:val="22"/>
          <w:szCs w:val="22"/>
        </w:rPr>
        <w:t xml:space="preserve">how far the company is financed by debt versus equity. Higher means more leverage and potentially more risk — in the COVID-19 downturn, debt-heavy airlines (United, American) struggled to service loans as demand collapsed. Note the equity here is BOOK equity, which may not represent true equity well, so the ratio can mislead (recall McDonald's and Starbucks, whose negative book equity would make this ratio meaningless).</w:t>
      </w:r>
    </w:p>
    <w:p>
      <w:pPr>
        <w:spacing w:after="120" w:line="276"/>
      </w:pPr>
      <w:r>
        <w:rPr>
          <w:b/>
          <w:bCs/>
          <w:sz w:val="22"/>
          <w:szCs w:val="22"/>
        </w:rPr>
        <w:t xml:space="preserve">Market-to-Book (Price-to-Book per share): </w:t>
      </w:r>
      <w:r>
        <w:rPr>
          <w:sz w:val="22"/>
          <w:szCs w:val="22"/>
        </w:rPr>
        <w:t xml:space="preserve">market valuation versus net assets on the books. A high ratio signals growth expectations or valuable unrecorded intangibles (Alphabet runs high); a low ratio may signal undervaluation or an asset-heavy, lower-growth business (banking tends to run low).</w:t>
      </w:r>
    </w:p>
    <w:p>
      <w:pPr>
        <w:spacing w:after="120" w:line="276"/>
      </w:pPr>
      <w:r>
        <w:rPr>
          <w:sz w:val="22"/>
          <w:szCs w:val="22"/>
        </w:rPr>
        <w:t xml:space="preserve">In short: read beyond the raw numbers. Understanding the accounting principles, their limits, and the industry context turns the balance sheet into a real read on financial strength, obligations, and the resources available for strategy.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2026-08-07T21:49:21.480Z</dcterms:created>
  <dcterms:modified xsi:type="dcterms:W3CDTF">2026-08-07T21:49:21.481Z</dcterms:modified>
</cp:coreProperties>
</file>

<file path=docProps/custom.xml><?xml version="1.0" encoding="utf-8"?>
<Properties xmlns="http://schemas.openxmlformats.org/officeDocument/2006/custom-properties" xmlns:vt="http://schemas.openxmlformats.org/officeDocument/2006/docPropsVTypes"/>
</file>