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The Income Statement</w:t>
      </w:r>
    </w:p>
    <w:p>
      <w:pPr>
        <w:spacing w:after="160"/>
      </w:pPr>
      <w:r>
        <w:rPr>
          <w:i/>
          <w:iCs/>
          <w:color w:val="595959"/>
          <w:sz w:val="22"/>
          <w:szCs w:val="22"/>
        </w:rPr>
        <w:t xml:space="preserve">Topic: Income Statement Details · Performance over time</w:t>
      </w:r>
    </w:p>
    <w:p>
      <w:pPr>
        <w:pStyle w:val="Heading2"/>
        <w:spacing w:after="120" w:before="260"/>
      </w:pPr>
      <w:r>
        <w:rPr>
          <w:b/>
          <w:bCs/>
          <w:color w:val="1F3864"/>
          <w:sz w:val="28"/>
          <w:szCs w:val="28"/>
        </w:rPr>
        <w:t xml:space="preserve">Income Statement Overview: Performance Over Time</w:t>
      </w:r>
    </w:p>
    <w:p>
      <w:pPr>
        <w:spacing w:after="120" w:line="276"/>
      </w:pPr>
      <w:r>
        <w:rPr>
          <w:sz w:val="22"/>
          <w:szCs w:val="22"/>
        </w:rPr>
        <w:t xml:space="preserve">The income statement — also called the profit and loss (P&amp;L) statement — reports a company's performance over a period, such as a quarter or a fiscal year. It details the revenues recognized and the expenses incurred to generate them, arriving at a net profit or loss. Unlike the balance sheet, which is a snapshot at a single point in time, the income statement shows the flow of performance over a defined period.</w:t>
      </w:r>
    </w:p>
    <w:p>
      <w:pPr>
        <w:spacing w:after="120" w:line="276"/>
      </w:pPr>
      <w:r>
        <w:rPr>
          <w:sz w:val="22"/>
          <w:szCs w:val="22"/>
        </w:rPr>
        <w:t xml:space="preserve">It is just as important to know what the income statement does NOT include. Cash flows for long-term operating assets (buying equipment) and for financing (borrowing, issuing stock) are not on it — because the statement measures profitability when revenues are earned and expenses incurred, not when cash moves.</w:t>
      </w:r>
    </w:p>
    <w:p>
      <w:pPr>
        <w:pStyle w:val="Heading2"/>
        <w:spacing w:after="120" w:before="260"/>
      </w:pPr>
      <w:r>
        <w:rPr>
          <w:b/>
          <w:bCs/>
          <w:color w:val="1F3864"/>
          <w:sz w:val="28"/>
          <w:szCs w:val="28"/>
        </w:rPr>
        <w:t xml:space="preserve">Operating vs. Non-Operating Activities</w:t>
      </w:r>
    </w:p>
    <w:p>
      <w:pPr>
        <w:spacing w:after="120" w:line="276"/>
      </w:pPr>
      <w:r>
        <w:rPr>
          <w:sz w:val="22"/>
          <w:szCs w:val="22"/>
        </w:rPr>
        <w:t xml:space="preserve">The income statement separates the company's core business from everything else:</w:t>
      </w:r>
    </w:p>
    <w:p>
      <w:pPr>
        <w:spacing w:after="120" w:line="276"/>
      </w:pPr>
      <w:r>
        <w:rPr>
          <w:b/>
          <w:bCs/>
          <w:sz w:val="22"/>
          <w:szCs w:val="22"/>
        </w:rPr>
        <w:t xml:space="preserve">Operating activities: </w:t>
      </w:r>
      <w:r>
        <w:rPr>
          <w:sz w:val="22"/>
          <w:szCs w:val="22"/>
        </w:rPr>
        <w:t xml:space="preserve">the primary business. For a product company like Apple, designing and selling iPhones, iPads, and hardware, plus services such as AppleCare and the App Store. For a service company like Netflix, creating, licensing, and delivering streaming content. Supporting costs — sales and marketing, administrative, and R&amp;D — are operating too.</w:t>
      </w:r>
    </w:p>
    <w:p>
      <w:pPr>
        <w:spacing w:after="120" w:line="276"/>
      </w:pPr>
      <w:r>
        <w:rPr>
          <w:b/>
          <w:bCs/>
          <w:sz w:val="22"/>
          <w:szCs w:val="22"/>
        </w:rPr>
        <w:t xml:space="preserve">Non-operating income and expenses: </w:t>
      </w:r>
      <w:r>
        <w:rPr>
          <w:sz w:val="22"/>
          <w:szCs w:val="22"/>
        </w:rPr>
        <w:t xml:space="preserve">items outside the core business, mostly financial — interest income on cash reserves, interest expense on debt, gains and losses on securities, and foreign-exchange effects.</w:t>
      </w:r>
    </w:p>
    <w:p>
      <w:pPr>
        <w:pStyle w:val="Heading2"/>
        <w:spacing w:after="120" w:before="260"/>
      </w:pPr>
      <w:r>
        <w:rPr>
          <w:b/>
          <w:bCs/>
          <w:color w:val="1F3864"/>
          <w:sz w:val="28"/>
          <w:szCs w:val="28"/>
        </w:rPr>
        <w:t xml:space="preserve">Relationship Between the Income Statement and Balance Sheet</w:t>
      </w:r>
    </w:p>
    <w:p>
      <w:pPr>
        <w:spacing w:after="120" w:line="276"/>
      </w:pPr>
      <w:r>
        <w:rPr>
          <w:sz w:val="22"/>
          <w:szCs w:val="22"/>
        </w:rPr>
        <w:t xml:space="preserve">The two statements are intrinsically linked. A few examples now; more later in the course:</w:t>
      </w:r>
    </w:p>
    <w:p>
      <w:pPr>
        <w:spacing w:after="120" w:line="276"/>
      </w:pPr>
      <w:r>
        <w:rPr>
          <w:b/>
          <w:bCs/>
          <w:sz w:val="22"/>
          <w:szCs w:val="22"/>
        </w:rPr>
        <w:t xml:space="preserve">Revenues: </w:t>
      </w:r>
      <w:r>
        <w:rPr>
          <w:sz w:val="22"/>
          <w:szCs w:val="22"/>
        </w:rPr>
        <w:t xml:space="preserve">increase assets (cash from a sale, or accounts receivable) or settle liabilities (a customer prepayment first creates deferred revenue, which is settled as the service is delivered).</w:t>
      </w:r>
    </w:p>
    <w:p>
      <w:pPr>
        <w:spacing w:after="120" w:line="276"/>
      </w:pPr>
      <w:r>
        <w:rPr>
          <w:b/>
          <w:bCs/>
          <w:sz w:val="22"/>
          <w:szCs w:val="22"/>
        </w:rPr>
        <w:t xml:space="preserve">Expenses: </w:t>
      </w:r>
      <w:r>
        <w:rPr>
          <w:sz w:val="22"/>
          <w:szCs w:val="22"/>
        </w:rPr>
        <w:t xml:space="preserve">decrease assets (cash paid for salaries, supplies used) or increase liabilities (accruing wages payable) in the process of generating revenue.</w:t>
      </w:r>
    </w:p>
    <w:p>
      <w:pPr>
        <w:spacing w:after="120" w:line="276"/>
      </w:pPr>
      <w:r>
        <w:rPr>
          <w:b/>
          <w:bCs/>
          <w:sz w:val="22"/>
          <w:szCs w:val="22"/>
        </w:rPr>
        <w:t xml:space="preserve">Over time: </w:t>
      </w:r>
      <w:r>
        <w:rPr>
          <w:sz w:val="22"/>
          <w:szCs w:val="22"/>
        </w:rPr>
        <w:t xml:space="preserve">the beginning-of-period balance sheet is transformed by the operating activities on the income statement into the end-of-period balance sheet.</w:t>
      </w:r>
    </w:p>
    <w:p>
      <w:pPr>
        <w:pStyle w:val="Heading2"/>
        <w:spacing w:after="120" w:before="260"/>
      </w:pPr>
      <w:r>
        <w:rPr>
          <w:b/>
          <w:bCs/>
          <w:color w:val="1F3864"/>
          <w:sz w:val="28"/>
          <w:szCs w:val="28"/>
        </w:rPr>
        <w:t xml:space="preserve">Structure of the Income Statement</w:t>
      </w:r>
    </w:p>
    <w:p>
      <w:pPr>
        <w:spacing w:after="120" w:line="276"/>
      </w:pPr>
      <w:r>
        <w:rPr>
          <w:sz w:val="22"/>
          <w:szCs w:val="22"/>
        </w:rPr>
        <w:t xml:space="preserve">The statement typically uses a multi-step format to reach net income:</w:t>
      </w:r>
    </w:p>
    <w:p>
      <w:pPr>
        <w:spacing w:after="120" w:line="276"/>
      </w:pPr>
      <w:r>
        <w:rPr>
          <w:b/>
          <w:bCs/>
          <w:sz w:val="22"/>
          <w:szCs w:val="22"/>
        </w:rPr>
        <w:t xml:space="preserve">Revenues / Sales: </w:t>
      </w:r>
      <w:r>
        <w:rPr>
          <w:sz w:val="22"/>
          <w:szCs w:val="22"/>
        </w:rPr>
        <w:t xml:space="preserve">the top line — total revenue earned from core operations that meets recognition criteria, whether or not collected in cash this period. "Revenues" and "sales" are used interchangeably. For Walmart, the value of goods sold; for a SaaS business like Salesforce, the value of contracts EARNED this period — which is different from the value of contracts SIGNED ("bookings") and different again from the cash collected. Those three numbers — bookings, revenue, and cash — are easy to confuse, so keep them distinct.</w:t>
      </w:r>
    </w:p>
    <w:p>
      <w:pPr>
        <w:spacing w:after="120" w:line="276"/>
      </w:pPr>
      <w:r>
        <w:rPr>
          <w:b/>
          <w:bCs/>
          <w:sz w:val="22"/>
          <w:szCs w:val="22"/>
        </w:rPr>
        <w:t xml:space="preserve">Cost of Goods Sold / Cost of Revenue (COGS): </w:t>
      </w:r>
      <w:r>
        <w:rPr>
          <w:sz w:val="22"/>
          <w:szCs w:val="22"/>
        </w:rPr>
        <w:t xml:space="preserve">the direct costs of generating recognized revenue — raw materials, direct production labor, or merchandise for resale. For Walmart, mainly what it paid for the inventory it sold; for Salesforce, hosting and infrastructure to run the product.</w:t>
      </w:r>
    </w:p>
    <w:p>
      <w:pPr>
        <w:spacing w:after="120" w:line="276"/>
      </w:pPr>
      <w:r>
        <w:rPr>
          <w:b/>
          <w:bCs/>
          <w:sz w:val="22"/>
          <w:szCs w:val="22"/>
        </w:rPr>
        <w:t xml:space="preserve">Gross Profit = Revenue − COGS: </w:t>
      </w:r>
      <w:r>
        <w:rPr>
          <w:sz w:val="22"/>
          <w:szCs w:val="22"/>
        </w:rPr>
        <w:t xml:space="preserve">profit from products and services before other operating expenses; a read on production/procurement efficiency and pricing power. SaaS businesses run very high gross margins but heavy R&amp;D and sales &amp; marketing below the line; consulting firms run lower gross margins but lighter operating costs. A vivid current case: Nvidia's gross margin was about 75% in fiscal 2025, lifted by its data-center/AI mix, versus roughly 20–25% for a grocer or big-box retailer. Neither is "better" — chips carry huge pricing power and low incremental cost, while groceries are high-volume and low-margin.</w:t>
      </w:r>
    </w:p>
    <w:p>
      <w:pPr>
        <w:spacing w:after="120" w:line="276"/>
      </w:pPr>
      <w:r>
        <w:rPr>
          <w:b/>
          <w:bCs/>
          <w:sz w:val="22"/>
          <w:szCs w:val="22"/>
        </w:rPr>
        <w:t xml:space="preserve">Operating Expenses: </w:t>
      </w:r>
      <w:r>
        <w:rPr>
          <w:sz w:val="22"/>
          <w:szCs w:val="22"/>
        </w:rPr>
        <w:t xml:space="preserve">costs of running the business that are not the direct cost of the product sold:</w:t>
      </w:r>
    </w:p>
    <w:p>
      <w:pPr>
        <w:pStyle w:val="ListParagraph"/>
        <w:numPr>
          <w:ilvl w:val="0"/>
          <w:numId w:val="2"/>
        </w:numPr>
        <w:spacing w:after="80" w:line="276"/>
      </w:pPr>
      <w:r>
        <w:rPr>
          <w:sz w:val="22"/>
          <w:szCs w:val="22"/>
        </w:rPr>
        <w:t xml:space="preserve">Sales &amp; Marketing: advertising (Nike), sales commissions (Salesforce), distribution.</w:t>
      </w:r>
    </w:p>
    <w:p>
      <w:pPr>
        <w:pStyle w:val="ListParagraph"/>
        <w:numPr>
          <w:ilvl w:val="0"/>
          <w:numId w:val="2"/>
        </w:numPr>
        <w:spacing w:after="80" w:line="276"/>
      </w:pPr>
      <w:r>
        <w:rPr>
          <w:sz w:val="22"/>
          <w:szCs w:val="22"/>
        </w:rPr>
        <w:t xml:space="preserve">Administrative (G&amp;A): executive salaries, rent, utilities, legal and accounting fees.</w:t>
      </w:r>
    </w:p>
    <w:p>
      <w:pPr>
        <w:pStyle w:val="ListParagraph"/>
        <w:numPr>
          <w:ilvl w:val="0"/>
          <w:numId w:val="2"/>
        </w:numPr>
        <w:spacing w:after="80" w:line="276"/>
      </w:pPr>
      <w:r>
        <w:rPr>
          <w:sz w:val="22"/>
          <w:szCs w:val="22"/>
        </w:rPr>
        <w:t xml:space="preserve">Research &amp; Development: new or improved products — critical for pharma (Pfizer) and tech (Alphabet).</w:t>
      </w:r>
    </w:p>
    <w:p>
      <w:pPr>
        <w:pStyle w:val="ListParagraph"/>
        <w:numPr>
          <w:ilvl w:val="0"/>
          <w:numId w:val="2"/>
        </w:numPr>
        <w:spacing w:after="80" w:line="276"/>
      </w:pPr>
      <w:r>
        <w:rPr>
          <w:sz w:val="22"/>
          <w:szCs w:val="22"/>
        </w:rPr>
        <w:t xml:space="preserve">Other operating: depreciation and amortization, plus industry-specific items like fulfillment costs for an e-commerce company (Amazon).</w:t>
      </w:r>
    </w:p>
    <w:p>
      <w:pPr>
        <w:spacing w:after="120" w:line="276"/>
      </w:pPr>
      <w:r>
        <w:rPr>
          <w:b/>
          <w:bCs/>
          <w:sz w:val="22"/>
          <w:szCs w:val="22"/>
        </w:rPr>
        <w:t xml:space="preserve">Operating Profit (Operating Income) = Gross Profit − Operating Expenses: </w:t>
      </w:r>
      <w:r>
        <w:rPr>
          <w:sz w:val="22"/>
          <w:szCs w:val="22"/>
        </w:rPr>
        <w:t xml:space="preserve">profit from core operations, after all operating costs but before interest and taxes — a key measure of underlying profitability.</w:t>
      </w:r>
    </w:p>
    <w:p>
      <w:pPr>
        <w:spacing w:after="120" w:line="276"/>
      </w:pPr>
      <w:r>
        <w:rPr>
          <w:b/>
          <w:bCs/>
          <w:sz w:val="22"/>
          <w:szCs w:val="22"/>
        </w:rPr>
        <w:t xml:space="preserve">Non-Operating Income / Expense: </w:t>
      </w:r>
      <w:r>
        <w:rPr>
          <w:sz w:val="22"/>
          <w:szCs w:val="22"/>
        </w:rPr>
        <w:t xml:space="preserve">mostly financial — interest income, interest expense (large for debt-heavy airlines like American or Southwest), investment gains and losses, one-time items, and FX effects.</w:t>
      </w:r>
    </w:p>
    <w:p>
      <w:pPr>
        <w:spacing w:after="120" w:line="276"/>
      </w:pPr>
      <w:r>
        <w:rPr>
          <w:b/>
          <w:bCs/>
          <w:sz w:val="22"/>
          <w:szCs w:val="22"/>
        </w:rPr>
        <w:t xml:space="preserve">Pre-Tax Income (EBT) = Operating Profit ± Non-Operating Items: </w:t>
      </w:r>
      <w:r>
        <w:rPr>
          <w:sz w:val="22"/>
          <w:szCs w:val="22"/>
        </w:rPr>
        <w:t xml:space="preserve">profit before income taxes.</w:t>
      </w:r>
    </w:p>
    <w:p>
      <w:pPr>
        <w:spacing w:after="120" w:line="276"/>
      </w:pPr>
      <w:r>
        <w:rPr>
          <w:b/>
          <w:bCs/>
          <w:sz w:val="22"/>
          <w:szCs w:val="22"/>
        </w:rPr>
        <w:t xml:space="preserve">Provision for Income Taxes: </w:t>
      </w:r>
      <w:r>
        <w:rPr>
          <w:sz w:val="22"/>
          <w:szCs w:val="22"/>
        </w:rPr>
        <w:t xml:space="preserve">the estimated tax for the period. It often differs from cash taxes paid because financial-reporting rules and tax rules differ, and the effective tax rate varies across periods and companies due to tax planning and jurisdiction mix.</w:t>
      </w:r>
    </w:p>
    <w:p>
      <w:pPr>
        <w:spacing w:after="120" w:line="276"/>
      </w:pPr>
      <w:r>
        <w:rPr>
          <w:b/>
          <w:bCs/>
          <w:sz w:val="22"/>
          <w:szCs w:val="22"/>
        </w:rPr>
        <w:t xml:space="preserve">Net Income = Pre-Tax Income − Taxes: </w:t>
      </w:r>
      <w:r>
        <w:rPr>
          <w:sz w:val="22"/>
          <w:szCs w:val="22"/>
        </w:rPr>
        <w:t xml:space="preserve">the bottom line — profit after all expenses, and what is ultimately available to owners.</w:t>
      </w:r>
    </w:p>
    <w:p>
      <w:pPr>
        <w:pStyle w:val="Heading2"/>
        <w:spacing w:after="120" w:before="260"/>
      </w:pPr>
      <w:r>
        <w:rPr>
          <w:b/>
          <w:bCs/>
          <w:color w:val="1F3864"/>
          <w:sz w:val="28"/>
          <w:szCs w:val="28"/>
        </w:rPr>
        <w:t xml:space="preserve">Key Accounting Principles</w:t>
      </w:r>
    </w:p>
    <w:p>
      <w:pPr>
        <w:spacing w:after="120" w:line="276"/>
      </w:pPr>
      <w:r>
        <w:rPr>
          <w:b/>
          <w:bCs/>
          <w:sz w:val="22"/>
          <w:szCs w:val="22"/>
        </w:rPr>
        <w:t xml:space="preserve">Accrual accounting: </w:t>
      </w:r>
      <w:r>
        <w:rPr>
          <w:sz w:val="22"/>
          <w:szCs w:val="22"/>
        </w:rPr>
        <w:t xml:space="preserve">revenues are recognized when earned and expenses when incurred, regardless of cash timing. US GAAP mandates accrual accounting for financial reporting.</w:t>
      </w:r>
    </w:p>
    <w:p>
      <w:pPr>
        <w:spacing w:after="120" w:line="276"/>
      </w:pPr>
      <w:r>
        <w:rPr>
          <w:b/>
          <w:bCs/>
          <w:sz w:val="22"/>
          <w:szCs w:val="22"/>
        </w:rPr>
        <w:t xml:space="preserve">Revenue recognition: </w:t>
      </w:r>
      <w:r>
        <w:rPr>
          <w:sz w:val="22"/>
          <w:szCs w:val="22"/>
        </w:rPr>
        <w:t xml:space="preserve">revenue is recognized when the company has substantially performed (usually on delivery) and expects to collect. A subscription seller like Zoom recognizes revenue ratably over the subscription period even if the customer paid upfront.</w:t>
      </w:r>
    </w:p>
    <w:p>
      <w:pPr>
        <w:spacing w:after="120" w:line="276"/>
      </w:pPr>
      <w:r>
        <w:rPr>
          <w:b/>
          <w:bCs/>
          <w:sz w:val="22"/>
          <w:szCs w:val="22"/>
        </w:rPr>
        <w:t xml:space="preserve">Matching principle: </w:t>
      </w:r>
      <w:r>
        <w:rPr>
          <w:sz w:val="22"/>
          <w:szCs w:val="22"/>
        </w:rPr>
        <w:t xml:space="preserve">expenses are recognized in the same period as the revenue they helped generate. COGS is booked when the sale is recognized even if the inventory was paid for earlier; a December sales commission paid in January is a December expense.</w:t>
      </w:r>
    </w:p>
    <w:p>
      <w:pPr>
        <w:pStyle w:val="Heading2"/>
        <w:spacing w:after="120" w:before="260"/>
      </w:pPr>
      <w:r>
        <w:rPr>
          <w:b/>
          <w:bCs/>
          <w:color w:val="1F3864"/>
          <w:sz w:val="28"/>
          <w:szCs w:val="28"/>
        </w:rPr>
        <w:t xml:space="preserve">Expensing vs. Capitalizing Costs</w:t>
      </w:r>
    </w:p>
    <w:p>
      <w:pPr>
        <w:spacing w:after="120" w:line="276"/>
      </w:pPr>
      <w:r>
        <w:rPr>
          <w:sz w:val="22"/>
          <w:szCs w:val="22"/>
        </w:rPr>
        <w:t xml:space="preserve">A core decision: expense a cost now, or capitalize it as an asset and expense it over time.</w:t>
      </w:r>
    </w:p>
    <w:p>
      <w:pPr>
        <w:spacing w:after="120" w:line="276"/>
      </w:pPr>
      <w:r>
        <w:rPr>
          <w:b/>
          <w:bCs/>
          <w:sz w:val="22"/>
          <w:szCs w:val="22"/>
        </w:rPr>
        <w:t xml:space="preserve">Expensing: </w:t>
      </w:r>
      <w:r>
        <w:rPr>
          <w:sz w:val="22"/>
          <w:szCs w:val="22"/>
        </w:rPr>
        <w:t xml:space="preserve">costs with short-term or uncertain benefit hit the income statement immediately — salaries, rent, most advertising.</w:t>
      </w:r>
    </w:p>
    <w:p>
      <w:pPr>
        <w:spacing w:after="120" w:line="276"/>
      </w:pPr>
      <w:r>
        <w:rPr>
          <w:b/>
          <w:bCs/>
          <w:sz w:val="22"/>
          <w:szCs w:val="22"/>
        </w:rPr>
        <w:t xml:space="preserve">Capitalizing: </w:t>
      </w:r>
      <w:r>
        <w:rPr>
          <w:sz w:val="22"/>
          <w:szCs w:val="22"/>
        </w:rPr>
        <w:t xml:space="preserve">expenditures expected to benefit more than one year (a factory machine — Boeing investing in new manufacturing technology) are first recorded as a balance-sheet asset, then moved to the income statement over the asset's life via depreciation (tangible) or amortization (intangible). This matches the expense to the periods the asset earns revenue — e.g., a machine bought by GM is depreciated over its useful life.</w:t>
      </w:r>
    </w:p>
    <w:p>
      <w:pPr>
        <w:pStyle w:val="Heading2"/>
        <w:spacing w:after="120" w:before="260"/>
      </w:pPr>
      <w:r>
        <w:rPr>
          <w:b/>
          <w:bCs/>
          <w:color w:val="1F3864"/>
          <w:sz w:val="28"/>
          <w:szCs w:val="28"/>
        </w:rPr>
        <w:t xml:space="preserve">Revenue and Cost Examples</w:t>
      </w:r>
    </w:p>
    <w:p>
      <w:pPr>
        <w:pStyle w:val="Heading3"/>
        <w:spacing w:after="80" w:before="180"/>
      </w:pPr>
      <w:r>
        <w:rPr>
          <w:b/>
          <w:bCs/>
          <w:color w:val="1F3864"/>
          <w:sz w:val="24"/>
          <w:szCs w:val="24"/>
        </w:rPr>
        <w:t xml:space="preserve">Revenue</w:t>
      </w:r>
    </w:p>
    <w:p>
      <w:pPr>
        <w:pStyle w:val="ListParagraph"/>
        <w:numPr>
          <w:ilvl w:val="0"/>
          <w:numId w:val="2"/>
        </w:numPr>
        <w:spacing w:after="80" w:line="276"/>
      </w:pPr>
      <w:r>
        <w:rPr>
          <w:sz w:val="22"/>
          <w:szCs w:val="22"/>
        </w:rPr>
        <w:t xml:space="preserve">Sale of merchandise (Walmart, Target)</w:t>
      </w:r>
    </w:p>
    <w:p>
      <w:pPr>
        <w:pStyle w:val="ListParagraph"/>
        <w:numPr>
          <w:ilvl w:val="0"/>
          <w:numId w:val="2"/>
        </w:numPr>
        <w:spacing w:after="80" w:line="276"/>
      </w:pPr>
      <w:r>
        <w:rPr>
          <w:sz w:val="22"/>
          <w:szCs w:val="22"/>
        </w:rPr>
        <w:t xml:space="preserve">Sale of a manufactured product (Tesla, General Electric)</w:t>
      </w:r>
    </w:p>
    <w:p>
      <w:pPr>
        <w:pStyle w:val="ListParagraph"/>
        <w:numPr>
          <w:ilvl w:val="0"/>
          <w:numId w:val="2"/>
        </w:numPr>
        <w:spacing w:after="80" w:line="276"/>
      </w:pPr>
      <w:r>
        <w:rPr>
          <w:sz w:val="22"/>
          <w:szCs w:val="22"/>
        </w:rPr>
        <w:t xml:space="preserve">Sale of a service (Accenture, Deloitte)</w:t>
      </w:r>
    </w:p>
    <w:p>
      <w:pPr>
        <w:pStyle w:val="ListParagraph"/>
        <w:numPr>
          <w:ilvl w:val="0"/>
          <w:numId w:val="2"/>
        </w:numPr>
        <w:spacing w:after="80" w:line="276"/>
      </w:pPr>
      <w:r>
        <w:rPr>
          <w:sz w:val="22"/>
          <w:szCs w:val="22"/>
        </w:rPr>
        <w:t xml:space="preserve">Subscription service (Netflix, Spotify)</w:t>
      </w:r>
    </w:p>
    <w:p>
      <w:pPr>
        <w:pStyle w:val="ListParagraph"/>
        <w:numPr>
          <w:ilvl w:val="0"/>
          <w:numId w:val="2"/>
        </w:numPr>
        <w:spacing w:after="80" w:line="276"/>
      </w:pPr>
      <w:r>
        <w:rPr>
          <w:sz w:val="22"/>
          <w:szCs w:val="22"/>
        </w:rPr>
        <w:t xml:space="preserve">Software licensing (Microsoft, Oracle)</w:t>
      </w:r>
    </w:p>
    <w:p>
      <w:pPr>
        <w:pStyle w:val="Heading3"/>
        <w:spacing w:after="80" w:before="180"/>
      </w:pPr>
      <w:r>
        <w:rPr>
          <w:b/>
          <w:bCs/>
          <w:color w:val="1F3864"/>
          <w:sz w:val="24"/>
          <w:szCs w:val="24"/>
        </w:rPr>
        <w:t xml:space="preserve">Key costs</w:t>
      </w:r>
    </w:p>
    <w:p>
      <w:pPr>
        <w:pStyle w:val="ListParagraph"/>
        <w:numPr>
          <w:ilvl w:val="0"/>
          <w:numId w:val="2"/>
        </w:numPr>
        <w:spacing w:after="80" w:line="276"/>
      </w:pPr>
      <w:r>
        <w:rPr>
          <w:sz w:val="22"/>
          <w:szCs w:val="22"/>
        </w:rPr>
        <w:t xml:space="preserve">COGS / Cost of Revenue: inventory (Best Buy), content licensing (Hulu), data-center maintenance (AWS).</w:t>
      </w:r>
    </w:p>
    <w:p>
      <w:pPr>
        <w:pStyle w:val="ListParagraph"/>
        <w:numPr>
          <w:ilvl w:val="0"/>
          <w:numId w:val="2"/>
        </w:numPr>
        <w:spacing w:after="80" w:line="276"/>
      </w:pPr>
      <w:r>
        <w:rPr>
          <w:sz w:val="22"/>
          <w:szCs w:val="22"/>
        </w:rPr>
        <w:t xml:space="preserve">Sales &amp; Marketing: advertising (P&amp;G), sales commissions (real-estate brokerage).</w:t>
      </w:r>
    </w:p>
    <w:p>
      <w:pPr>
        <w:pStyle w:val="ListParagraph"/>
        <w:numPr>
          <w:ilvl w:val="0"/>
          <w:numId w:val="2"/>
        </w:numPr>
        <w:spacing w:after="80" w:line="276"/>
      </w:pPr>
      <w:r>
        <w:rPr>
          <w:sz w:val="22"/>
          <w:szCs w:val="22"/>
        </w:rPr>
        <w:t xml:space="preserve">Administrative: office rent, corporate legal fees.</w:t>
      </w:r>
    </w:p>
    <w:p>
      <w:pPr>
        <w:pStyle w:val="ListParagraph"/>
        <w:numPr>
          <w:ilvl w:val="0"/>
          <w:numId w:val="2"/>
        </w:numPr>
        <w:spacing w:after="80" w:line="276"/>
      </w:pPr>
      <w:r>
        <w:rPr>
          <w:sz w:val="22"/>
          <w:szCs w:val="22"/>
        </w:rPr>
        <w:t xml:space="preserve">R&amp;D: drug development (Merck), autonomous-driving research (Waymo).</w:t>
      </w:r>
    </w:p>
    <w:p>
      <w:pPr>
        <w:pStyle w:val="ListParagraph"/>
        <w:numPr>
          <w:ilvl w:val="0"/>
          <w:numId w:val="2"/>
        </w:numPr>
        <w:spacing w:after="80" w:line="276"/>
      </w:pPr>
      <w:r>
        <w:rPr>
          <w:sz w:val="22"/>
          <w:szCs w:val="22"/>
        </w:rPr>
        <w:t xml:space="preserve">Depreciation &amp; Amortization: aircraft depreciation (United), patent amortization (biotech).</w:t>
      </w:r>
    </w:p>
    <w:p>
      <w:pPr>
        <w:pStyle w:val="ListParagraph"/>
        <w:numPr>
          <w:ilvl w:val="0"/>
          <w:numId w:val="2"/>
        </w:numPr>
        <w:spacing w:after="80" w:line="276"/>
      </w:pPr>
      <w:r>
        <w:rPr>
          <w:sz w:val="22"/>
          <w:szCs w:val="22"/>
        </w:rPr>
        <w:t xml:space="preserve">Fulfillment: storing, packing, and shipping orders (e-commerce).</w:t>
      </w:r>
    </w:p>
    <w:p>
      <w:pPr>
        <w:pStyle w:val="ListParagraph"/>
        <w:numPr>
          <w:ilvl w:val="0"/>
          <w:numId w:val="2"/>
        </w:numPr>
        <w:spacing w:after="80" w:line="276"/>
      </w:pPr>
      <w:r>
        <w:rPr>
          <w:sz w:val="22"/>
          <w:szCs w:val="22"/>
        </w:rPr>
        <w:t xml:space="preserve">Interest expense: cost of borrowing (Ford).</w:t>
      </w:r>
    </w:p>
    <w:p>
      <w:pPr>
        <w:pStyle w:val="ListParagraph"/>
        <w:numPr>
          <w:ilvl w:val="0"/>
          <w:numId w:val="2"/>
        </w:numPr>
        <w:spacing w:after="80" w:line="276"/>
      </w:pPr>
      <w:r>
        <w:rPr>
          <w:sz w:val="22"/>
          <w:szCs w:val="22"/>
        </w:rPr>
        <w:t xml:space="preserve">Provision for income taxes: estimated taxes owed.</w:t>
      </w:r>
    </w:p>
    <w:p>
      <w:pPr>
        <w:pStyle w:val="Heading2"/>
        <w:spacing w:after="120" w:before="260"/>
      </w:pPr>
      <w:r>
        <w:rPr>
          <w:b/>
          <w:bCs/>
          <w:color w:val="1F3864"/>
          <w:sz w:val="28"/>
          <w:szCs w:val="28"/>
        </w:rPr>
        <w:t xml:space="preserve">Earnings Per Share (EPS)</w:t>
      </w:r>
    </w:p>
    <w:p>
      <w:pPr>
        <w:spacing w:after="120" w:line="276"/>
      </w:pPr>
      <w:r>
        <w:rPr>
          <w:sz w:val="22"/>
          <w:szCs w:val="22"/>
        </w:rPr>
        <w:t xml:space="preserve">Net income is the total profit; EPS shows the portion belonging to each share of common stock:</w:t>
      </w:r>
    </w:p>
    <w:p>
      <w:pPr>
        <w:spacing w:after="120" w:before="40"/>
        <w:jc w:val="center"/>
      </w:pPr>
      <w:r>
        <w:rPr>
          <w:b/>
          <w:bCs/>
          <w:color w:val="1F3864"/>
          <w:sz w:val="22"/>
          <w:szCs w:val="22"/>
        </w:rPr>
        <w:t xml:space="preserve">EPS = Net Income / Weighted Average Common Shares Outstanding</w:t>
      </w:r>
    </w:p>
    <w:p>
      <w:pPr>
        <w:spacing w:after="120" w:line="276"/>
      </w:pPr>
      <w:r>
        <w:rPr>
          <w:b/>
          <w:bCs/>
          <w:sz w:val="22"/>
          <w:szCs w:val="22"/>
        </w:rPr>
        <w:t xml:space="preserve">Basic EPS: </w:t>
      </w:r>
      <w:r>
        <w:rPr>
          <w:sz w:val="22"/>
          <w:szCs w:val="22"/>
        </w:rPr>
        <w:t xml:space="preserve">uses the actual shares outstanding during the period.</w:t>
      </w:r>
    </w:p>
    <w:p>
      <w:pPr>
        <w:spacing w:after="120" w:line="276"/>
      </w:pPr>
      <w:r>
        <w:rPr>
          <w:b/>
          <w:bCs/>
          <w:sz w:val="22"/>
          <w:szCs w:val="22"/>
        </w:rPr>
        <w:t xml:space="preserve">Diluted EPS: </w:t>
      </w:r>
      <w:r>
        <w:rPr>
          <w:sz w:val="22"/>
          <w:szCs w:val="22"/>
        </w:rPr>
        <w:t xml:space="preserve">also counts shares that could be created if dilutive securities (employee stock options, convertible bonds) were exercised or converted — a more conservative figure.</w:t>
      </w:r>
    </w:p>
    <w:p>
      <w:pPr>
        <w:spacing w:after="120" w:line="276"/>
      </w:pPr>
      <w:r>
        <w:rPr>
          <w:sz w:val="22"/>
          <w:szCs w:val="22"/>
        </w:rPr>
        <w:t xml:space="preserve">The gap between basic and diluted EPS is immaterial for many companies but large for firms that pay heavily in stock options and equity awards. Stock-based compensation (SBC) is where dilution and "adjusted" earnings collide. Nvidia's SBC rose from $4.7B (FY2025) to $6.4B (FY2026); most tech companies add SBC back to make non-GAAP profit look higher, but in early 2026 Nvidia said it would start including SBC in its non-GAAP figures from fiscal 2027 — moving against the norm. SBC is a real cost to shareholders because it dilutes them, even though it uses no cash, which is why whether "adjusted" earnings should ignore it is genuinely debated.</w:t>
      </w:r>
    </w:p>
    <w:p>
      <w:pPr>
        <w:pStyle w:val="Heading2"/>
        <w:spacing w:after="120" w:before="260"/>
      </w:pPr>
      <w:r>
        <w:rPr>
          <w:b/>
          <w:bCs/>
          <w:color w:val="1F3864"/>
          <w:sz w:val="28"/>
          <w:szCs w:val="28"/>
        </w:rPr>
        <w:t xml:space="preserve">Key Ratios From the Income Statement</w:t>
      </w:r>
    </w:p>
    <w:p>
      <w:pPr>
        <w:spacing w:after="120" w:line="276"/>
      </w:pPr>
      <w:r>
        <w:rPr>
          <w:b/>
          <w:bCs/>
          <w:sz w:val="22"/>
          <w:szCs w:val="22"/>
        </w:rPr>
        <w:t xml:space="preserve">Gross Profit Margin = Gross Profit / Revenue: </w:t>
      </w:r>
      <w:r>
        <w:rPr>
          <w:sz w:val="22"/>
          <w:szCs w:val="22"/>
        </w:rPr>
        <w:t xml:space="preserve">profitability of the core product after direct costs; higher means stronger efficiency or pricing power (a software firm far exceeds a retailer).</w:t>
      </w:r>
    </w:p>
    <w:p>
      <w:pPr>
        <w:spacing w:after="120" w:line="276"/>
      </w:pPr>
      <w:r>
        <w:rPr>
          <w:b/>
          <w:bCs/>
          <w:sz w:val="22"/>
          <w:szCs w:val="22"/>
        </w:rPr>
        <w:t xml:space="preserve">Operating Profit Margin = Operating Profit / Revenue: </w:t>
      </w:r>
      <w:r>
        <w:rPr>
          <w:sz w:val="22"/>
          <w:szCs w:val="22"/>
        </w:rPr>
        <w:t xml:space="preserve">profitability after COGS and operating expenses. Compare peers (Coca-Cola vs. PepsiCo) or one company over time — but not across unlike industries, which have different business models.</w:t>
      </w:r>
    </w:p>
    <w:p>
      <w:pPr>
        <w:spacing w:after="120" w:line="276"/>
      </w:pPr>
      <w:r>
        <w:rPr>
          <w:b/>
          <w:bCs/>
          <w:sz w:val="22"/>
          <w:szCs w:val="22"/>
        </w:rPr>
        <w:t xml:space="preserve">Net Profit Margin = Net Income / Revenue: </w:t>
      </w:r>
      <w:r>
        <w:rPr>
          <w:sz w:val="22"/>
          <w:szCs w:val="22"/>
        </w:rPr>
        <w:t xml:space="preserve">the share of each sales dollar left after all costs, interest, and taxes — the ultimate profitability measure.</w:t>
      </w:r>
    </w:p>
    <w:p>
      <w:pPr>
        <w:spacing w:after="120" w:line="276"/>
      </w:pPr>
      <w:r>
        <w:rPr>
          <w:b/>
          <w:bCs/>
          <w:sz w:val="22"/>
          <w:szCs w:val="22"/>
        </w:rPr>
        <w:t xml:space="preserve">Revenue Growth Rate: </w:t>
      </w:r>
      <w:r>
        <w:rPr>
          <w:sz w:val="22"/>
          <w:szCs w:val="22"/>
        </w:rPr>
        <w:t xml:space="preserve">percentage change in revenue (e.g., year-over-year); high-growth tech names are often valued on it.</w:t>
      </w:r>
    </w:p>
    <w:p>
      <w:pPr>
        <w:spacing w:after="120" w:line="276"/>
      </w:pPr>
      <w:r>
        <w:rPr>
          <w:b/>
          <w:bCs/>
          <w:sz w:val="22"/>
          <w:szCs w:val="22"/>
        </w:rPr>
        <w:t xml:space="preserve">Profit Growth Rate: </w:t>
      </w:r>
      <w:r>
        <w:rPr>
          <w:sz w:val="22"/>
          <w:szCs w:val="22"/>
        </w:rPr>
        <w:t xml:space="preserve">percentage change in net or operating income — how effectively profitability is growing.</w:t>
      </w:r>
    </w:p>
    <w:p>
      <w:pPr>
        <w:spacing w:after="120" w:line="276"/>
      </w:pPr>
      <w:r>
        <w:rPr>
          <w:b/>
          <w:bCs/>
          <w:sz w:val="22"/>
          <w:szCs w:val="22"/>
        </w:rPr>
        <w:t xml:space="preserve">Price-to-Earnings (P/E) = Market Price per Share / EPS: </w:t>
      </w:r>
      <w:r>
        <w:rPr>
          <w:sz w:val="22"/>
          <w:szCs w:val="22"/>
        </w:rPr>
        <w:t xml:space="preserve">how much investors pay per dollar of earnings. High-growth or strong-prospect companies carry higher P/Es (a high P/E for Nvidia reflects expected AI-driven growth).</w:t>
      </w:r>
    </w:p>
    <w:p>
      <w:pPr>
        <w:spacing w:after="120" w:line="276"/>
      </w:pPr>
      <w:r>
        <w:rPr>
          <w:sz w:val="22"/>
          <w:szCs w:val="22"/>
        </w:rPr>
        <w:t xml:space="preserve">A useful way to bring these ratios to life is to place two peers side by side — say a SaaS company next to a retailer — and compare each income-statement line as a percentage of revenue. It makes immediately clear why their gross margins and cost structures differ, even when both are healthy businesses.</w:t>
      </w:r>
    </w:p>
    <w:p>
      <w:pPr>
        <w:pStyle w:val="Heading2"/>
        <w:spacing w:after="120" w:before="260"/>
      </w:pPr>
      <w:r>
        <w:rPr>
          <w:b/>
          <w:bCs/>
          <w:color w:val="1F3864"/>
          <w:sz w:val="28"/>
          <w:szCs w:val="28"/>
        </w:rPr>
        <w:t xml:space="preserve">Other Frequently Used Terms</w:t>
      </w:r>
    </w:p>
    <w:p>
      <w:pPr>
        <w:spacing w:after="120" w:line="276"/>
      </w:pPr>
      <w:r>
        <w:rPr>
          <w:b/>
          <w:bCs/>
          <w:sz w:val="22"/>
          <w:szCs w:val="22"/>
        </w:rPr>
        <w:t xml:space="preserve">EBIT (Earnings Before Interest and Taxes): </w:t>
      </w:r>
      <w:r>
        <w:rPr>
          <w:sz w:val="22"/>
          <w:szCs w:val="22"/>
        </w:rPr>
        <w:t xml:space="preserve">often used loosely for operating income (not exactly the same); focuses on core earning power before financing and taxes.</w:t>
      </w:r>
    </w:p>
    <w:p>
      <w:pPr>
        <w:spacing w:after="120" w:line="276"/>
      </w:pPr>
      <w:r>
        <w:rPr>
          <w:b/>
          <w:bCs/>
          <w:sz w:val="22"/>
          <w:szCs w:val="22"/>
        </w:rPr>
        <w:t xml:space="preserve">EBITDA: </w:t>
      </w:r>
      <w:r>
        <w:rPr>
          <w:sz w:val="22"/>
          <w:szCs w:val="22"/>
        </w:rPr>
        <w:t xml:space="preserve">EBIT plus non-cash depreciation and amortization — sometimes used as a rough proxy for operating cash flow, though it ignores working-capital changes and CapEx. It is a non-GAAP metric, so companies define it differently; scrutinize what's in and out, especially when it's labeled "Adjusted EBITDA."</w:t>
      </w:r>
    </w:p>
    <w:p>
      <w:pPr>
        <w:spacing w:after="120" w:line="276"/>
      </w:pPr>
      <w:r>
        <w:rPr>
          <w:b/>
          <w:bCs/>
          <w:sz w:val="22"/>
          <w:szCs w:val="22"/>
        </w:rPr>
        <w:t xml:space="preserve">Non-GAAP earnings: </w:t>
      </w:r>
      <w:r>
        <w:rPr>
          <w:sz w:val="22"/>
          <w:szCs w:val="22"/>
        </w:rPr>
        <w:t xml:space="preserve">measures that depart from GAAP, usually excluding items management says don't reflect core performance (restructuring, asset-sale gains/losses, sometimes stock-based compensation). They can be genuinely useful — Microsoft strips out one-time accounting effects, and some firms report constant-currency figures to isolate operating trends from foreign-exchange swings — but management has discretion, so always read the GAAP-to-non-GAAP reconciliation.</w:t>
      </w:r>
    </w:p>
    <w:p>
      <w:pPr>
        <w:spacing w:after="120" w:line="276"/>
      </w:pPr>
      <w:r>
        <w:rPr>
          <w:sz w:val="22"/>
          <w:szCs w:val="22"/>
        </w:rPr>
        <w:t xml:space="preserve">The cautionary cases are worth knowing. WeWork's "Community-Adjusted EBITDA" is the classic: it stripped out not only interest, taxes, depreciation, and amortization but also ordinary operating costs like marketing, general and administrative expenses, and even rent, turning enormous losses into a positive-looking number. Groupon offers a close parallel: ahead of its 2011 IPO it promoted "Adjusted Consolidated Segment Operating Income (ACSOI)," a metric that excluded its heavy subscriber-acquisition marketing — the single largest cost of the business. On that basis Groupon showed roughly $60 million of operating income for 2010, while standard GAAP showed an operating loss of about $420 million; under SEC pressure the company dropped the metric and refiled. Valeant Pharmaceuticals (now Bausch Health) likewise drew scrutiny for aggressive adjustments. The teachable rule: adjustments should aid understanding, not hide the business — and the same metric name can mean very different things at two companies. A good exercise is to open one real GAAP-to-non-GAAP reconciliation from a recent 10-Q and separate the useful adjustments from the cosmetic ones.</w:t>
      </w:r>
    </w:p>
    <w:p>
      <w:pPr>
        <w:pStyle w:val="Heading2"/>
        <w:spacing w:after="120" w:before="260"/>
      </w:pPr>
      <w:r>
        <w:rPr>
          <w:b/>
          <w:bCs/>
          <w:color w:val="1F3864"/>
          <w:sz w:val="28"/>
          <w:szCs w:val="28"/>
        </w:rPr>
        <w:t xml:space="preserve">Key Summary Notes</w:t>
      </w:r>
    </w:p>
    <w:p>
      <w:pPr>
        <w:pStyle w:val="ListParagraph"/>
        <w:numPr>
          <w:ilvl w:val="0"/>
          <w:numId w:val="2"/>
        </w:numPr>
        <w:spacing w:after="80" w:line="276"/>
      </w:pPr>
      <w:r>
        <w:rPr>
          <w:sz w:val="22"/>
          <w:szCs w:val="22"/>
        </w:rPr>
        <w:t xml:space="preserve">Revenues and expenses can be cash or non-cash — a credit sale recognizes revenue with no cash in; depreciation is an expense with no cash out.</w:t>
      </w:r>
    </w:p>
    <w:p>
      <w:pPr>
        <w:pStyle w:val="ListParagraph"/>
        <w:numPr>
          <w:ilvl w:val="0"/>
          <w:numId w:val="2"/>
        </w:numPr>
        <w:spacing w:after="80" w:line="276"/>
      </w:pPr>
      <w:r>
        <w:rPr>
          <w:sz w:val="22"/>
          <w:szCs w:val="22"/>
        </w:rPr>
        <w:t xml:space="preserve">Cost of revenue includes only the direct cost of what was SOLD this period; goods still in inventory sit as a balance-sheet asset, not an expense.</w:t>
      </w:r>
    </w:p>
    <w:p>
      <w:pPr>
        <w:pStyle w:val="ListParagraph"/>
        <w:numPr>
          <w:ilvl w:val="0"/>
          <w:numId w:val="2"/>
        </w:numPr>
        <w:spacing w:after="80" w:line="276"/>
      </w:pPr>
      <w:r>
        <w:rPr>
          <w:sz w:val="22"/>
          <w:szCs w:val="22"/>
        </w:rPr>
        <w:t xml:space="preserve">Operating expenses aren't always tied to current-period revenue — commissions flex with sales, but rent and R&amp;D are more fixed or discretionary.</w:t>
      </w:r>
    </w:p>
    <w:p>
      <w:pPr>
        <w:pStyle w:val="ListParagraph"/>
        <w:numPr>
          <w:ilvl w:val="0"/>
          <w:numId w:val="2"/>
        </w:numPr>
        <w:spacing w:after="80" w:line="276"/>
      </w:pPr>
      <w:r>
        <w:rPr>
          <w:sz w:val="22"/>
          <w:szCs w:val="22"/>
        </w:rPr>
        <w:t xml:space="preserve">Investing (buying equipment) and financing (loans, dividends) cash flows are NOT on the income statement — they're on the statement of cash flows.</w:t>
      </w:r>
    </w:p>
    <w:p>
      <w:pPr>
        <w:pStyle w:val="ListParagraph"/>
        <w:numPr>
          <w:ilvl w:val="0"/>
          <w:numId w:val="2"/>
        </w:numPr>
        <w:spacing w:after="80" w:line="276"/>
      </w:pPr>
      <w:r>
        <w:rPr>
          <w:sz w:val="22"/>
          <w:szCs w:val="22"/>
        </w:rPr>
        <w:t xml:space="preserve">Structure and line items vary by company and industry — firms highlight their most significant costs (R&amp;D for pharma/biotech; occupancy for hospitality).</w:t>
      </w:r>
    </w:p>
    <w:p>
      <w:pPr>
        <w:spacing w:after="120" w:line="276"/>
      </w:pPr>
      <w:r>
        <w:rPr>
          <w:sz w:val="22"/>
          <w:szCs w:val="22"/>
        </w:rPr>
        <w:t xml:space="preserve">Read the income statement alongside the balance sheet and cash flow statement for a complete picture of performance and 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2026-08-07T21:54:28.565Z</dcterms:created>
  <dcterms:modified xsi:type="dcterms:W3CDTF">2026-08-07T21:54:28.566Z</dcterms:modified>
</cp:coreProperties>
</file>

<file path=docProps/custom.xml><?xml version="1.0" encoding="utf-8"?>
<Properties xmlns="http://schemas.openxmlformats.org/officeDocument/2006/custom-properties" xmlns:vt="http://schemas.openxmlformats.org/officeDocument/2006/docPropsVTypes"/>
</file>