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Accounts Receivable and Accounts Payable</w:t>
      </w:r>
    </w:p>
    <w:p>
      <w:pPr>
        <w:spacing w:after="160"/>
      </w:pPr>
      <w:r>
        <w:rPr>
          <w:i/>
          <w:iCs/>
          <w:color w:val="595959"/>
          <w:sz w:val="22"/>
          <w:szCs w:val="22"/>
        </w:rPr>
        <w:t xml:space="preserve">Topic: Accounting for AR and AP</w:t>
      </w:r>
    </w:p>
    <w:p>
      <w:pPr>
        <w:pStyle w:val="Heading2"/>
        <w:spacing w:after="120" w:before="260"/>
      </w:pPr>
      <w:r>
        <w:rPr>
          <w:b/>
          <w:bCs/>
          <w:color w:val="1F3864"/>
          <w:sz w:val="28"/>
          <w:szCs w:val="28"/>
        </w:rPr>
        <w:t xml:space="preserve">Accounts Receivable (AR): The Cost and Benefit of Offering Credit</w:t>
      </w:r>
    </w:p>
    <w:p>
      <w:pPr>
        <w:spacing w:after="120" w:line="276"/>
      </w:pPr>
      <w:r>
        <w:rPr>
          <w:sz w:val="22"/>
          <w:szCs w:val="22"/>
        </w:rPr>
        <w:t xml:space="preserve">In many industries, companies extend credit — letting customers pay after delivery. This can drive sales by attracting customers who can't or won't pay immediately. Because revenue recognition does not require cash at the point of sale, these credit sales are recognized as revenue when earned, and a matching asset — Accounts Receivable — is recorded on the balance sheet for the amount owed. AR stays on the books until the cash is collected.</w:t>
      </w:r>
    </w:p>
    <w:p>
      <w:pPr>
        <w:spacing w:after="120" w:line="276"/>
      </w:pPr>
      <w:r>
        <w:rPr>
          <w:sz w:val="22"/>
          <w:szCs w:val="22"/>
        </w:rPr>
        <w:t xml:space="preserve">But credit carries risk: not every customer pays in full. So companies estimate the portion of receivables likely to be uncollectible and set up a reserve — the Allowance for Uncollectible Accounts (or Allowance for Doubtful Accounts). AR is reported net, at the amount realistically expected to be collected:</w:t>
      </w:r>
    </w:p>
    <w:p>
      <w:pPr>
        <w:spacing w:after="120" w:before="40"/>
        <w:jc w:val="center"/>
      </w:pPr>
      <w:r>
        <w:rPr>
          <w:b/>
          <w:bCs/>
          <w:color w:val="1F3864"/>
          <w:sz w:val="22"/>
          <w:szCs w:val="22"/>
        </w:rPr>
        <w:t xml:space="preserve">Net AR = Gross AR − Allowance for Uncollectible Accounts</w:t>
      </w:r>
    </w:p>
    <w:p>
      <w:pPr>
        <w:spacing w:after="120" w:line="276"/>
      </w:pPr>
      <w:r>
        <w:rPr>
          <w:sz w:val="22"/>
          <w:szCs w:val="22"/>
        </w:rPr>
        <w:t xml:space="preserve">Take Cisco: because it mostly sells to other businesses, it commonly extends credit. Even after vetting partners' credit quality, experience says a percentage won't pay — so it books an allowance to prepare for that.</w:t>
      </w:r>
    </w:p>
    <w:p>
      <w:pPr>
        <w:pStyle w:val="Heading2"/>
        <w:spacing w:after="120" w:before="260"/>
      </w:pPr>
      <w:r>
        <w:rPr>
          <w:b/>
          <w:bCs/>
          <w:color w:val="1F3864"/>
          <w:sz w:val="28"/>
          <w:szCs w:val="28"/>
        </w:rPr>
        <w:t xml:space="preserve">AR and Reserve — Mechanics</w:t>
      </w:r>
    </w:p>
    <w:p>
      <w:pPr>
        <w:spacing w:after="120" w:line="276"/>
      </w:pPr>
      <w:r>
        <w:rPr>
          <w:sz w:val="22"/>
          <w:szCs w:val="22"/>
        </w:rPr>
        <w:t xml:space="preserve">The process has a few key steps:</w:t>
      </w:r>
    </w:p>
    <w:p>
      <w:pPr>
        <w:pStyle w:val="ListParagraph"/>
        <w:numPr>
          <w:ilvl w:val="0"/>
          <w:numId w:val="2"/>
        </w:numPr>
        <w:spacing w:after="80" w:line="276"/>
      </w:pPr>
      <w:r>
        <w:rPr>
          <w:b/>
          <w:bCs/>
          <w:sz w:val="22"/>
          <w:szCs w:val="22"/>
        </w:rPr>
        <w:t xml:space="preserve">Record credit sales: </w:t>
      </w:r>
      <w:r>
        <w:rPr>
          <w:sz w:val="22"/>
          <w:szCs w:val="22"/>
        </w:rPr>
        <w:t xml:space="preserve">increase Sales Revenue (income statement) and Accounts Receivable (a current asset).</w:t>
      </w:r>
    </w:p>
    <w:p>
      <w:pPr>
        <w:pStyle w:val="ListParagraph"/>
        <w:numPr>
          <w:ilvl w:val="0"/>
          <w:numId w:val="2"/>
        </w:numPr>
        <w:spacing w:after="80" w:line="276"/>
      </w:pPr>
      <w:r>
        <w:rPr>
          <w:b/>
          <w:bCs/>
          <w:sz w:val="22"/>
          <w:szCs w:val="22"/>
        </w:rPr>
        <w:t xml:space="preserve">Estimate uncollectible amounts: </w:t>
      </w:r>
      <w:r>
        <w:rPr>
          <w:sz w:val="22"/>
          <w:szCs w:val="22"/>
        </w:rPr>
        <w:t xml:space="preserve">at period end, estimate the receivables that won't be collected — the basis for the allowance. Methods rely on history, industry trends, and customer creditworthiness. A casino like MGM Resorts, extending credit to high-stakes gamblers, carries a far higher uncollectible rate than a mature B2B seller like SAP. Estimates range from under 1% for stable B2B relationships to 20%+ in higher-risk settings.</w:t>
      </w:r>
    </w:p>
    <w:p>
      <w:pPr>
        <w:pStyle w:val="ListParagraph"/>
        <w:numPr>
          <w:ilvl w:val="0"/>
          <w:numId w:val="2"/>
        </w:numPr>
        <w:spacing w:after="80" w:line="276"/>
      </w:pPr>
      <w:r>
        <w:rPr>
          <w:b/>
          <w:bCs/>
          <w:sz w:val="22"/>
          <w:szCs w:val="22"/>
        </w:rPr>
        <w:t xml:space="preserve">Adjust the allowance: </w:t>
      </w:r>
      <w:r>
        <w:rPr>
          <w:sz w:val="22"/>
          <w:szCs w:val="22"/>
        </w:rPr>
        <w:t xml:space="preserve">if the current allowance is below the required balance, increase it — recognized as Bad Debt Expense, which lowers current profit. If Dell needs a $10M allowance but currently holds $2M, bad-debt expense is $8M this period, and earnings fall by $8M. Bad-debt expense is the cost of doing business on credit.</w:t>
      </w:r>
    </w:p>
    <w:p>
      <w:pPr>
        <w:pStyle w:val="ListParagraph"/>
        <w:numPr>
          <w:ilvl w:val="0"/>
          <w:numId w:val="2"/>
        </w:numPr>
        <w:spacing w:after="80" w:line="276"/>
      </w:pPr>
      <w:r>
        <w:rPr>
          <w:b/>
          <w:bCs/>
          <w:sz w:val="22"/>
          <w:szCs w:val="22"/>
        </w:rPr>
        <w:t xml:space="preserve">Write off uncollectible accounts: </w:t>
      </w:r>
      <w:r>
        <w:rPr>
          <w:sz w:val="22"/>
          <w:szCs w:val="22"/>
        </w:rPr>
        <w:t xml:space="preserve">when a specific account goes bad (e.g., customer bankruptcy), reduce gross AR and the allowance by the same amount. This does NOT touch net AR or the income statement — the expense was already recognized when the allowance was built; the write-off merely uses up the reserve.</w:t>
      </w:r>
    </w:p>
    <w:p>
      <w:pPr>
        <w:spacing w:after="120" w:line="276"/>
      </w:pPr>
      <w:r>
        <w:rPr>
          <w:sz w:val="22"/>
          <w:szCs w:val="22"/>
        </w:rPr>
        <w:t xml:space="preserve">Purpose: the process follows the matching principle — recognizing the cost of extending credit in the same period as the related sales — and reports the net amount the company expects to collect.</w:t>
      </w:r>
    </w:p>
    <w:p>
      <w:pPr>
        <w:spacing w:after="120" w:line="276"/>
      </w:pPr>
      <w:r>
        <w:rPr>
          <w:sz w:val="22"/>
          <w:szCs w:val="22"/>
        </w:rPr>
        <w:t xml:space="preserve">A short numeric walk-through makes the key point clear. Suppose a company makes $1,000 of credit sales and estimates that 2% ($20) will be uncollectible. It records $20 of bad-debt expense and a $20 allowance, so net AR is $980 and profit is $20 lower. Later, when one specific $15 account actually fails, the write-off reduces gross AR by $15 and the allowance by $15 — net AR and profit are unchanged, because the cost was already recognized when the allowance was built. The earnings event is the estimate, not the write-off.</w:t>
      </w:r>
    </w:p>
    <w:p>
      <w:pPr>
        <w:pStyle w:val="Heading2"/>
        <w:spacing w:after="120" w:before="260"/>
      </w:pPr>
      <w:r>
        <w:rPr>
          <w:b/>
          <w:bCs/>
          <w:color w:val="1F3864"/>
          <w:sz w:val="28"/>
          <w:szCs w:val="28"/>
        </w:rPr>
        <w:t xml:space="preserve">Estimating the Reserve: Methods</w:t>
      </w:r>
    </w:p>
    <w:p>
      <w:pPr>
        <w:spacing w:after="120" w:line="276"/>
      </w:pPr>
      <w:r>
        <w:rPr>
          <w:sz w:val="22"/>
          <w:szCs w:val="22"/>
        </w:rPr>
        <w:t xml:space="preserve">Setting the allowance takes judgment, using history and current information. If Best Buy enters a new market with an unfamiliar customer base, it might start with a higher allowance; if IBM tightens credit or sees customers strengthen, it might lower it. Two common methods:</w:t>
      </w:r>
    </w:p>
    <w:p>
      <w:pPr>
        <w:spacing w:after="120" w:line="276"/>
      </w:pPr>
      <w:r>
        <w:rPr>
          <w:b/>
          <w:bCs/>
          <w:sz w:val="22"/>
          <w:szCs w:val="22"/>
        </w:rPr>
        <w:t xml:space="preserve">Percentage of credit sales: </w:t>
      </w:r>
      <w:r>
        <w:rPr>
          <w:sz w:val="22"/>
          <w:szCs w:val="22"/>
        </w:rPr>
        <w:t xml:space="preserve">assume a set percentage of credit sales will go bad, based on historical experience. Best when there are many customers and reviewing each is impractical, and the average is a close-enough estimate.</w:t>
      </w:r>
    </w:p>
    <w:p>
      <w:pPr>
        <w:spacing w:after="120" w:line="276"/>
      </w:pPr>
      <w:r>
        <w:rPr>
          <w:b/>
          <w:bCs/>
          <w:sz w:val="22"/>
          <w:szCs w:val="22"/>
        </w:rPr>
        <w:t xml:space="preserve">Aging schedule: </w:t>
      </w:r>
      <w:r>
        <w:rPr>
          <w:sz w:val="22"/>
          <w:szCs w:val="22"/>
        </w:rPr>
        <w:t xml:space="preserve">sort outstanding AR by how overdue it is (current, 1–30, 31–60, 90+ days) and apply a rising uncollectible percentage to older buckets — e.g., 0% current, 0.5% at 30 days, 5% at 90 days. The sum is the required allowance. Fits companies that assess accounts individually.</w:t>
      </w:r>
    </w:p>
    <w:p>
      <w:pPr>
        <w:spacing w:after="120" w:line="276"/>
      </w:pPr>
      <w:r>
        <w:rPr>
          <w:b/>
          <w:bCs/>
          <w:sz w:val="22"/>
          <w:szCs w:val="22"/>
        </w:rPr>
        <w:t xml:space="preserve">Combination: </w:t>
      </w:r>
      <w:r>
        <w:rPr>
          <w:sz w:val="22"/>
          <w:szCs w:val="22"/>
        </w:rPr>
        <w:t xml:space="preserve">some firms mix the two by customer type or receivable nature.</w:t>
      </w:r>
    </w:p>
    <w:p>
      <w:pPr>
        <w:pStyle w:val="Heading2"/>
        <w:spacing w:after="120" w:before="260"/>
      </w:pPr>
      <w:r>
        <w:rPr>
          <w:b/>
          <w:bCs/>
          <w:color w:val="1F3864"/>
          <w:sz w:val="28"/>
          <w:szCs w:val="28"/>
        </w:rPr>
        <w:t xml:space="preserve">Earnings Management: The Temptation to Manipulate Estimates</w:t>
      </w:r>
    </w:p>
    <w:p>
      <w:pPr>
        <w:spacing w:after="120" w:line="276"/>
      </w:pPr>
      <w:r>
        <w:rPr>
          <w:sz w:val="22"/>
          <w:szCs w:val="22"/>
        </w:rPr>
        <w:t xml:space="preserve">Because the estimate rests on judgment about future collectability, it creates room for earnings management:</w:t>
      </w:r>
    </w:p>
    <w:p>
      <w:pPr>
        <w:spacing w:after="120" w:line="276"/>
      </w:pPr>
      <w:r>
        <w:rPr>
          <w:b/>
          <w:bCs/>
          <w:sz w:val="22"/>
          <w:szCs w:val="22"/>
        </w:rPr>
        <w:t xml:space="preserve">Underestimating the provision: </w:t>
      </w:r>
      <w:r>
        <w:rPr>
          <w:sz w:val="22"/>
          <w:szCs w:val="22"/>
        </w:rPr>
        <w:t xml:space="preserve">lowers bad-debt expense and lifts current net income — but the shortfall surfaces later when the bad accounts actually fail, forcing a bigger expense then. It borrows income from the future.</w:t>
      </w:r>
    </w:p>
    <w:p>
      <w:pPr>
        <w:spacing w:after="120" w:line="276"/>
      </w:pPr>
      <w:r>
        <w:rPr>
          <w:b/>
          <w:bCs/>
          <w:sz w:val="22"/>
          <w:szCs w:val="22"/>
        </w:rPr>
        <w:t xml:space="preserve">Overestimating the provision: </w:t>
      </w:r>
      <w:r>
        <w:rPr>
          <w:sz w:val="22"/>
          <w:szCs w:val="22"/>
        </w:rPr>
        <w:t xml:space="preserve">raises expense and depresses current income, building a "cookie jar" reserve to release later and flatter future results. A related motive is the "big bath" — piling several pieces of bad news into one period so each draws less attention.</w:t>
      </w:r>
    </w:p>
    <w:p>
      <w:pPr>
        <w:pStyle w:val="Heading3"/>
        <w:spacing w:after="80" w:before="180"/>
      </w:pPr>
      <w:r>
        <w:rPr>
          <w:b/>
          <w:bCs/>
          <w:color w:val="1F3864"/>
          <w:sz w:val="24"/>
          <w:szCs w:val="24"/>
        </w:rPr>
        <w:t xml:space="preserve">Monitoring the adequacy of the allowance</w:t>
      </w:r>
    </w:p>
    <w:p>
      <w:pPr>
        <w:pStyle w:val="ListParagraph"/>
        <w:numPr>
          <w:ilvl w:val="0"/>
          <w:numId w:val="2"/>
        </w:numPr>
        <w:spacing w:after="80" w:line="276"/>
      </w:pPr>
      <w:r>
        <w:rPr>
          <w:sz w:val="22"/>
          <w:szCs w:val="22"/>
        </w:rPr>
        <w:t xml:space="preserve">Allowance as a % of gross AR: a rising trend may signal deteriorating customer credit or a previously inadequate provision — but a sudden jump without explanation can hint at a cookie-jar reserve.</w:t>
      </w:r>
    </w:p>
    <w:p>
      <w:pPr>
        <w:pStyle w:val="ListParagraph"/>
        <w:numPr>
          <w:ilvl w:val="0"/>
          <w:numId w:val="2"/>
        </w:numPr>
        <w:spacing w:after="80" w:line="276"/>
      </w:pPr>
      <w:r>
        <w:rPr>
          <w:sz w:val="22"/>
          <w:szCs w:val="22"/>
        </w:rPr>
        <w:t xml:space="preserve">Additions to allowance vs. write-offs: over time these should roughly track; persistent gaps may signal estimation problems or manipulation.</w:t>
      </w:r>
    </w:p>
    <w:p>
      <w:pPr>
        <w:pStyle w:val="ListParagraph"/>
        <w:numPr>
          <w:ilvl w:val="0"/>
          <w:numId w:val="2"/>
        </w:numPr>
        <w:spacing w:after="80" w:line="276"/>
      </w:pPr>
      <w:r>
        <w:rPr>
          <w:sz w:val="22"/>
          <w:szCs w:val="22"/>
        </w:rPr>
        <w:t xml:space="preserve">Beginning allowance vs. write-offs: the opening allowance should generally cover the period's write-offs; if write-offs far exceed it, the allowance was likely too low.</w:t>
      </w:r>
    </w:p>
    <w:p>
      <w:pPr>
        <w:spacing w:after="120" w:line="276"/>
      </w:pPr>
      <w:r>
        <w:rPr>
          <w:sz w:val="22"/>
          <w:szCs w:val="22"/>
        </w:rPr>
        <w:t xml:space="preserve">These reserve estimates can move reported earnings substantially. Banks are the macro version: their loan-loss reserves swing with the economic outlook — large "builds" in downturns depress earnings and large "releases" in recoveries inflate them, sometimes accounting for a big share of a quarter's profit, which is why regulators and analysts scrutinize reserve releases closely. A closer example is a casino like MGM Resorts, which extends significant credit to high-stakes gamblers: its allowance for doubtful accounts is large and highly judgmental, so a change in that estimate can noticeably swing a period's profit.</w:t>
      </w:r>
    </w:p>
    <w:p>
      <w:pPr>
        <w:pStyle w:val="Heading2"/>
        <w:spacing w:after="120" w:before="260"/>
      </w:pPr>
      <w:r>
        <w:rPr>
          <w:b/>
          <w:bCs/>
          <w:color w:val="1F3864"/>
          <w:sz w:val="28"/>
          <w:szCs w:val="28"/>
        </w:rPr>
        <w:t xml:space="preserve">Analyzing AR: Efficiency and Risk</w:t>
      </w:r>
    </w:p>
    <w:p>
      <w:pPr>
        <w:spacing w:after="120" w:line="276"/>
      </w:pPr>
      <w:r>
        <w:rPr>
          <w:sz w:val="22"/>
          <w:szCs w:val="22"/>
        </w:rPr>
        <w:t xml:space="preserve">Carrying AR is costly — it's cash not yet collected, which may need to be financed. The longer collection takes, the higher the financing cost and non-payment risk; yet refusing credit can cost customers. Two ratios track efficiency:</w:t>
      </w:r>
    </w:p>
    <w:p>
      <w:pPr>
        <w:spacing w:after="120" w:line="276"/>
      </w:pPr>
      <w:r>
        <w:rPr>
          <w:b/>
          <w:bCs/>
          <w:sz w:val="22"/>
          <w:szCs w:val="22"/>
        </w:rPr>
        <w:t xml:space="preserve">AR Turnover: </w:t>
      </w:r>
      <w:r>
        <w:rPr>
          <w:sz w:val="22"/>
          <w:szCs w:val="22"/>
        </w:rPr>
        <w:t xml:space="preserve">how many times receivables are collected in a period; higher means faster collection.</w:t>
      </w:r>
    </w:p>
    <w:p>
      <w:pPr>
        <w:spacing w:after="120" w:before="40"/>
        <w:jc w:val="center"/>
      </w:pPr>
      <w:r>
        <w:rPr>
          <w:b/>
          <w:bCs/>
          <w:color w:val="1F3864"/>
          <w:sz w:val="22"/>
          <w:szCs w:val="22"/>
        </w:rPr>
        <w:t xml:space="preserve">AR Turnover = Total Sales / Average Net AR   (Average Net AR = (Beginning + Ending) / 2)</w:t>
      </w:r>
    </w:p>
    <w:p>
      <w:pPr>
        <w:spacing w:after="120" w:line="276"/>
      </w:pPr>
      <w:r>
        <w:rPr>
          <w:b/>
          <w:bCs/>
          <w:sz w:val="22"/>
          <w:szCs w:val="22"/>
        </w:rPr>
        <w:t xml:space="preserve">Days Sales Outstanding (DSO): </w:t>
      </w:r>
      <w:r>
        <w:rPr>
          <w:sz w:val="22"/>
          <w:szCs w:val="22"/>
        </w:rPr>
        <w:t xml:space="preserve">average days to collect after a sale; lower means more efficient collection. DSO and AR turnover use the same inputs and tell the same story.</w:t>
      </w:r>
    </w:p>
    <w:p>
      <w:pPr>
        <w:spacing w:after="120" w:before="40"/>
        <w:jc w:val="center"/>
      </w:pPr>
      <w:r>
        <w:rPr>
          <w:b/>
          <w:bCs/>
          <w:color w:val="1F3864"/>
          <w:sz w:val="22"/>
          <w:szCs w:val="22"/>
        </w:rPr>
        <w:t xml:space="preserve">DSO = Average Net AR / (Total Sales / 365) = 365 / AR Turnover</w:t>
      </w:r>
    </w:p>
    <w:p>
      <w:pPr>
        <w:spacing w:after="120" w:line="276"/>
      </w:pPr>
      <w:r>
        <w:rPr>
          <w:sz w:val="22"/>
          <w:szCs w:val="22"/>
        </w:rPr>
        <w:t xml:space="preserve">Compare turnover and DSO within an industry to read credit policy and collection effectiveness; levels vary widely across industries. There's no single "optimal" AR — it's a trade-off between tying up cash and bearing credit risk versus attracting customers with lenient terms. Large firms run dedicated collections teams, and some sell their receivables (factoring) or borrow against them to raise cash sooner.</w:t>
      </w:r>
    </w:p>
    <w:p>
      <w:pPr>
        <w:pStyle w:val="Heading2"/>
        <w:spacing w:after="120" w:before="260"/>
      </w:pPr>
      <w:r>
        <w:rPr>
          <w:b/>
          <w:bCs/>
          <w:color w:val="1F3864"/>
          <w:sz w:val="28"/>
          <w:szCs w:val="28"/>
        </w:rPr>
        <w:t xml:space="preserve">Accounts Payable (AP): Managing Obligations to Suppliers</w:t>
      </w:r>
    </w:p>
    <w:p>
      <w:pPr>
        <w:spacing w:after="120" w:line="276"/>
      </w:pPr>
      <w:r>
        <w:rPr>
          <w:sz w:val="22"/>
          <w:szCs w:val="22"/>
        </w:rPr>
        <w:t xml:space="preserve">AP is the flip side of AR — a current operating liability for amounts owed to suppliers for goods or services bought on credit. One company's payable is its supplier's receivable: what General Motors owes its parts suppliers is AP on GM's books and AR on the suppliers'.</w:t>
      </w:r>
    </w:p>
    <w:p>
      <w:pPr>
        <w:pStyle w:val="Heading3"/>
        <w:spacing w:after="80" w:before="180"/>
      </w:pPr>
      <w:r>
        <w:rPr>
          <w:b/>
          <w:bCs/>
          <w:color w:val="1F3864"/>
          <w:sz w:val="24"/>
          <w:szCs w:val="24"/>
        </w:rPr>
        <w:t xml:space="preserve">Analyzing AP: leveraging trade credit</w:t>
      </w:r>
    </w:p>
    <w:p>
      <w:pPr>
        <w:spacing w:after="120" w:line="276"/>
      </w:pPr>
      <w:r>
        <w:rPr>
          <w:b/>
          <w:bCs/>
          <w:sz w:val="22"/>
          <w:szCs w:val="22"/>
        </w:rPr>
        <w:t xml:space="preserve">AP Turnover: </w:t>
      </w:r>
      <w:r>
        <w:rPr>
          <w:sz w:val="22"/>
          <w:szCs w:val="22"/>
        </w:rPr>
        <w:t xml:space="preserve">how many times a company pays off its payables in a period.</w:t>
      </w:r>
    </w:p>
    <w:p>
      <w:pPr>
        <w:spacing w:after="120" w:before="40"/>
        <w:jc w:val="center"/>
      </w:pPr>
      <w:r>
        <w:rPr>
          <w:b/>
          <w:bCs/>
          <w:color w:val="1F3864"/>
          <w:sz w:val="22"/>
          <w:szCs w:val="22"/>
        </w:rPr>
        <w:t xml:space="preserve">AP Turnover = Total COGS / Average AP</w:t>
      </w:r>
    </w:p>
    <w:p>
      <w:pPr>
        <w:spacing w:after="120" w:line="276"/>
      </w:pPr>
      <w:r>
        <w:rPr>
          <w:b/>
          <w:bCs/>
          <w:sz w:val="22"/>
          <w:szCs w:val="22"/>
        </w:rPr>
        <w:t xml:space="preserve">Days Payable Outstanding (DPO): </w:t>
      </w:r>
      <w:r>
        <w:rPr>
          <w:sz w:val="22"/>
          <w:szCs w:val="22"/>
        </w:rPr>
        <w:t xml:space="preserve">average days taken to pay suppliers.</w:t>
      </w:r>
    </w:p>
    <w:p>
      <w:pPr>
        <w:spacing w:after="120" w:before="40"/>
        <w:jc w:val="center"/>
      </w:pPr>
      <w:r>
        <w:rPr>
          <w:b/>
          <w:bCs/>
          <w:color w:val="1F3864"/>
          <w:sz w:val="22"/>
          <w:szCs w:val="22"/>
        </w:rPr>
        <w:t xml:space="preserve">DPO = Average AP / (Total COGS / 365) = 365 / AP Turnover</w:t>
      </w:r>
    </w:p>
    <w:p>
      <w:pPr>
        <w:spacing w:after="120" w:line="276"/>
      </w:pPr>
      <w:r>
        <w:rPr>
          <w:sz w:val="22"/>
          <w:szCs w:val="22"/>
        </w:rPr>
        <w:t xml:space="preserve">A higher AP turnover / lower DPO means paying suppliers quickly — which can signal strength but isn't always optimal. Trade credit usually carries no explicit interest, so stretching payment terms (without penalties or damaging relationships) lets a company delay cash outflows and use suppliers as short-term financing.</w:t>
      </w:r>
    </w:p>
    <w:p>
      <w:pPr>
        <w:spacing w:after="120" w:line="276"/>
      </w:pPr>
      <w:r>
        <w:rPr>
          <w:sz w:val="22"/>
          <w:szCs w:val="22"/>
        </w:rPr>
        <w:t xml:space="preserve">But paying slow isn't free. Forgoing an early-payment discount is costly: skip a "2/10, net 30" offer (2% off if paid in 10 days, otherwise due in 30) and the implicit cost runs about 37% on an annualized basis. And consistently paying beyond agreed terms can sour supplier relationships and worsen future terms. Effective working-capital management balances AR, AP, inventory, and accrued expenses — there is rarely one "perfect" answer.</w:t>
      </w:r>
    </w:p>
    <w:p>
      <w:pPr>
        <w:spacing w:after="120" w:line="276"/>
      </w:pPr>
      <w:r>
        <w:rPr>
          <w:sz w:val="22"/>
          <w:szCs w:val="22"/>
        </w:rPr>
        <w:t xml:space="preserve">Many large buyers now stretch DPO using supplier finance (also called reverse factoring or structured payables): a third-party financier pays the supplier early, and the buyer pays the financier later. This lets the buyer report a longer DPO and stronger operating cash flow while suppliers still get paid — but the obligation can sit among ordinary payables while behaving like debt. Because these programs grew large and hard to see, U.S. accounting rules now require buyers to disclose the program's terms, the outstanding balance, and a year-over-year rollforward (effective from 2023). The judgment question worth debating: is stretching payables this way smart financing or hidden leverage?</w:t>
      </w:r>
    </w:p>
    <w:p>
      <w:pPr>
        <w:pStyle w:val="Heading2"/>
        <w:spacing w:after="120" w:before="260"/>
      </w:pPr>
      <w:r>
        <w:rPr>
          <w:b/>
          <w:bCs/>
          <w:color w:val="1F3864"/>
          <w:sz w:val="28"/>
          <w:szCs w:val="28"/>
        </w:rPr>
        <w:t xml:space="preserve">Putting It Together: The Cash Conversion Cycle</w:t>
      </w:r>
    </w:p>
    <w:p>
      <w:pPr>
        <w:spacing w:after="120" w:line="276"/>
      </w:pPr>
      <w:r>
        <w:rPr>
          <w:sz w:val="22"/>
          <w:szCs w:val="22"/>
        </w:rPr>
        <w:t xml:space="preserve">AR and AP are two of the three levers of the cash conversion cycle, which links this topic to inventory:</w:t>
      </w:r>
    </w:p>
    <w:p>
      <w:pPr>
        <w:spacing w:after="120" w:before="40"/>
        <w:jc w:val="center"/>
      </w:pPr>
      <w:r>
        <w:rPr>
          <w:b/>
          <w:bCs/>
          <w:color w:val="1F3864"/>
          <w:sz w:val="22"/>
          <w:szCs w:val="22"/>
        </w:rPr>
        <w:t xml:space="preserve">Cash Conversion Cycle = DSO + Days Inventory Outstanding − DPO</w:t>
      </w:r>
    </w:p>
    <w:p>
      <w:pPr>
        <w:spacing w:after="120" w:line="276"/>
      </w:pPr>
      <w:r>
        <w:rPr>
          <w:sz w:val="22"/>
          <w:szCs w:val="22"/>
        </w:rPr>
        <w:t xml:space="preserve">It measures how long cash is tied up between paying suppliers and collecting from customers. Collecting faster (lower DSO), holding less inventory (lower Days Inventory), and paying suppliers later (higher DPO) all shorten it. The strongest operators — such as Amazon and Dell — can even run it negative, collecting from customers before they pay their suppliers, so growth throws off cash rather than consuming it. We return to this in the inventory and cash-flow classes.</w:t>
      </w:r>
    </w:p>
    <w:p>
      <w:pPr>
        <w:spacing w:after="120" w:line="276"/>
      </w:pPr>
      <w:r>
        <w:rPr>
          <w:sz w:val="22"/>
          <w:szCs w:val="22"/>
        </w:rPr>
        <w:t xml:space="preserve">In a real 10-K, you'll find AR and its allowance on the balance sheet and in a receivables or credit-losses footnote, and any supplier-finance program disclosed in a payables footnote — useful places to see these ideas in a company you follow.</w:t>
      </w:r>
    </w:p>
    <w:p>
      <w:pPr>
        <w:pStyle w:val="Heading2"/>
        <w:spacing w:after="120" w:before="260"/>
      </w:pPr>
      <w:r>
        <w:rPr>
          <w:b/>
          <w:bCs/>
          <w:color w:val="1F3864"/>
          <w:sz w:val="28"/>
          <w:szCs w:val="28"/>
        </w:rPr>
        <w:t xml:space="preserve">Optional Reading: Warranties</w:t>
      </w:r>
    </w:p>
    <w:p>
      <w:pPr>
        <w:spacing w:after="120" w:line="276"/>
      </w:pPr>
      <w:r>
        <w:rPr>
          <w:sz w:val="22"/>
          <w:szCs w:val="22"/>
        </w:rPr>
        <w:t xml:space="preserve">Manufacturers often warrant their products for a period. Because the obligation arises from the sale, the estimated future warranty cost is expensed at the time of sale — the same matching logic as the allowance for uncollectible accounts.</w:t>
      </w:r>
    </w:p>
    <w:p>
      <w:pPr>
        <w:spacing w:after="120" w:line="276"/>
      </w:pPr>
      <w:r>
        <w:rPr>
          <w:b/>
          <w:bCs/>
          <w:sz w:val="22"/>
          <w:szCs w:val="22"/>
        </w:rPr>
        <w:t xml:space="preserve">At the time of sale: </w:t>
      </w:r>
      <w:r>
        <w:rPr>
          <w:sz w:val="22"/>
          <w:szCs w:val="22"/>
        </w:rPr>
        <w:t xml:space="preserve">estimate total warranty cost for the period's sales from historical claim data, record it as expense (reducing current profit), and set up a Warranty Liability for the future obligation. Toyota, for instance, carries large warranty liabilities.</w:t>
      </w:r>
    </w:p>
    <w:p>
      <w:pPr>
        <w:spacing w:after="120" w:line="276"/>
      </w:pPr>
      <w:r>
        <w:rPr>
          <w:b/>
          <w:bCs/>
          <w:sz w:val="22"/>
          <w:szCs w:val="22"/>
        </w:rPr>
        <w:t xml:space="preserve">When claims occur: </w:t>
      </w:r>
      <w:r>
        <w:rPr>
          <w:sz w:val="22"/>
          <w:szCs w:val="22"/>
        </w:rPr>
        <w:t xml:space="preserve">actual repair or replacement costs reduce the Warranty Liability, not the income statement — the expense was already recognized at sale. The liability acts as a reserve.</w:t>
      </w:r>
    </w:p>
    <w:p>
      <w:pPr>
        <w:spacing w:after="120" w:line="276"/>
      </w:pPr>
      <w:r>
        <w:rPr>
          <w:sz w:val="22"/>
          <w:szCs w:val="22"/>
        </w:rPr>
        <w:t xml:space="preserve">Like the allowance for uncollectible accounts, warranty estimates involve judgment and uncertainty, so they can be used to manage earnings; analysts watch trends in warranty expense and the related liability for reasonableness.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2026-08-07T21:59:27.025Z</dcterms:created>
  <dcterms:modified xsi:type="dcterms:W3CDTF">2026-08-07T21:59:27.025Z</dcterms:modified>
</cp:coreProperties>
</file>

<file path=docProps/custom.xml><?xml version="1.0" encoding="utf-8"?>
<Properties xmlns="http://schemas.openxmlformats.org/officeDocument/2006/custom-properties" xmlns:vt="http://schemas.openxmlformats.org/officeDocument/2006/docPropsVTypes"/>
</file>