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20"/>
      </w:pPr>
      <w:r>
        <w:rPr>
          <w:b/>
          <w:bCs/>
          <w:color w:val="1F3864"/>
          <w:sz w:val="34"/>
          <w:szCs w:val="34"/>
        </w:rPr>
        <w:t xml:space="preserve">Summary Notes — Revenue Recognition</w:t>
      </w:r>
    </w:p>
    <w:p>
      <w:pPr>
        <w:spacing w:after="160"/>
      </w:pPr>
      <w:r>
        <w:rPr>
          <w:i/>
          <w:iCs/>
          <w:color w:val="595959"/>
          <w:sz w:val="22"/>
          <w:szCs w:val="22"/>
        </w:rPr>
        <w:t xml:space="preserve">Topic: Revenue Recognition</w:t>
      </w:r>
    </w:p>
    <w:p>
      <w:pPr>
        <w:pStyle w:val="Heading2"/>
        <w:spacing w:after="120" w:before="260"/>
      </w:pPr>
      <w:r>
        <w:rPr>
          <w:b/>
          <w:bCs/>
          <w:color w:val="1F3864"/>
          <w:sz w:val="28"/>
          <w:szCs w:val="28"/>
        </w:rPr>
        <w:t xml:space="preserve">Introduction: The Importance of Getting It Right</w:t>
      </w:r>
    </w:p>
    <w:p>
      <w:pPr>
        <w:spacing w:after="120" w:line="276"/>
      </w:pPr>
      <w:r>
        <w:rPr>
          <w:sz w:val="22"/>
          <w:szCs w:val="22"/>
        </w:rPr>
        <w:t xml:space="preserve">Revenue (sales) is arguably the most critical figure on the income statement — the income from a company's core operations. Because reported revenue drives the cost of revenue (through matching) and ultimately profitability, the rules for recognizing it matter enormously. Some transactions are clear-cut; many require judgment and management estimates.</w:t>
      </w:r>
    </w:p>
    <w:p>
      <w:pPr>
        <w:spacing w:after="120" w:line="276"/>
      </w:pPr>
      <w:r>
        <w:rPr>
          <w:sz w:val="22"/>
          <w:szCs w:val="22"/>
        </w:rPr>
        <w:t xml:space="preserve">Accounting on its own can't create or destroy value — but misreading the rules can cause performance to be misunderstood, which does drive value creation or destruction. For anyone using financial reports to decide, the nuances matter for several reasons:</w:t>
      </w:r>
    </w:p>
    <w:p>
      <w:pPr>
        <w:pStyle w:val="ListParagraph"/>
        <w:numPr>
          <w:ilvl w:val="0"/>
          <w:numId w:val="2"/>
        </w:numPr>
        <w:spacing w:after="80" w:line="276"/>
      </w:pPr>
      <w:r>
        <w:rPr>
          <w:sz w:val="22"/>
          <w:szCs w:val="22"/>
        </w:rPr>
        <w:t xml:space="preserve">Impact on performance metrics: different policies materially change ratios and performance measures, making competitor comparisons hard — recognizing subscription revenue upfront versus over the subscription period yields very different short-term results.</w:t>
      </w:r>
    </w:p>
    <w:p>
      <w:pPr>
        <w:pStyle w:val="ListParagraph"/>
        <w:numPr>
          <w:ilvl w:val="0"/>
          <w:numId w:val="2"/>
        </w:numPr>
        <w:spacing w:after="80" w:line="276"/>
      </w:pPr>
      <w:r>
        <w:rPr>
          <w:sz w:val="22"/>
          <w:szCs w:val="22"/>
        </w:rPr>
        <w:t xml:space="preserve">Comparability: inconsistent application, across companies or across periods, obscures true trends.</w:t>
      </w:r>
    </w:p>
    <w:p>
      <w:pPr>
        <w:pStyle w:val="ListParagraph"/>
        <w:numPr>
          <w:ilvl w:val="0"/>
          <w:numId w:val="2"/>
        </w:numPr>
        <w:spacing w:after="80" w:line="276"/>
      </w:pPr>
      <w:r>
        <w:rPr>
          <w:sz w:val="22"/>
          <w:szCs w:val="22"/>
        </w:rPr>
        <w:t xml:space="preserve">Forecasting and valuation: reliable forecasts and valuations depend on accurate revenue; overstating inflates projections and valuations, understating masks potential.</w:t>
      </w:r>
    </w:p>
    <w:p>
      <w:pPr>
        <w:pStyle w:val="ListParagraph"/>
        <w:numPr>
          <w:ilvl w:val="0"/>
          <w:numId w:val="2"/>
        </w:numPr>
        <w:spacing w:after="80" w:line="276"/>
      </w:pPr>
      <w:r>
        <w:rPr>
          <w:sz w:val="22"/>
          <w:szCs w:val="22"/>
        </w:rPr>
        <w:t xml:space="preserve">Regulatory scrutiny and investor confidence: misreporting invites regulators, litigation, and lost trust.</w:t>
      </w:r>
    </w:p>
    <w:p>
      <w:pPr>
        <w:spacing w:after="120" w:line="276"/>
      </w:pPr>
      <w:r>
        <w:rPr>
          <w:sz w:val="22"/>
          <w:szCs w:val="22"/>
        </w:rPr>
        <w:t xml:space="preserve">A few years ago, FASB and the IASB jointly issued a comprehensive new standard — ASC 606 in the US — effective for most companies in 2018. It introduced a more principles-based, five-step framework and changed some specifics, but the fundamentals of when and how to recognize revenue are unchanged. This session focuses on those fundamentals.</w:t>
      </w:r>
    </w:p>
    <w:p>
      <w:pPr>
        <w:spacing w:after="120" w:line="276"/>
      </w:pPr>
      <w:r>
        <w:rPr>
          <w:sz w:val="22"/>
          <w:szCs w:val="22"/>
        </w:rPr>
        <w:t xml:space="preserve">Revenue is also the most common theme in accounting fraud. The classics are Enron and WorldCom, and — more recently — Luckin Coffee, which fabricated sales. A vivid current case is Builder.ai, the UK startup once valued at about $1.5 billion and backed by Microsoft and Qatar's sovereign wealth fund. It marketed an "AI" app-builder (its assistant, "Natasha"), though much of the work was actually done by hundreds of human engineers — and, more to the point for us, it allegedly inflated its revenue dramatically. Builder.ai reported roughly $220 million of 2024 revenue against an actual figure closer to $55 million, largely through "round-tripping": it and another company exchanged near-identical invoices for services never really delivered, so each could book the amounts as sales. The company collapsed into insolvency in 2025 and is under investigation. Common schemes to watch for include round-tripping and fictitious invoices, "pull-forward" (booking future-period sales early), and "bill-and-hold" (invoicing goods not yet shipped). The lesson: because so much of revenue rests on management's judgment, it is both the most important line and the most manipulated.</w:t>
      </w:r>
    </w:p>
    <w:p>
      <w:pPr>
        <w:pStyle w:val="Heading2"/>
        <w:spacing w:after="120" w:before="260"/>
      </w:pPr>
      <w:r>
        <w:rPr>
          <w:b/>
          <w:bCs/>
          <w:color w:val="1F3864"/>
          <w:sz w:val="28"/>
          <w:szCs w:val="28"/>
        </w:rPr>
        <w:t xml:space="preserve">The Core Principles of Revenue Recognition</w:t>
      </w:r>
    </w:p>
    <w:p>
      <w:pPr>
        <w:spacing w:after="120" w:line="276"/>
      </w:pPr>
      <w:r>
        <w:rPr>
          <w:sz w:val="22"/>
          <w:szCs w:val="22"/>
        </w:rPr>
        <w:t xml:space="preserve">Whatever the specific standard, revenue is recognized when two conditions are met:</w:t>
      </w:r>
    </w:p>
    <w:p>
      <w:pPr>
        <w:spacing w:after="120" w:line="276"/>
      </w:pPr>
      <w:r>
        <w:rPr>
          <w:b/>
          <w:bCs/>
          <w:sz w:val="22"/>
          <w:szCs w:val="22"/>
        </w:rPr>
        <w:t xml:space="preserve">Earned: </w:t>
      </w:r>
      <w:r>
        <w:rPr>
          <w:sz w:val="22"/>
          <w:szCs w:val="22"/>
        </w:rPr>
        <w:t xml:space="preserve">the seller has satisfied its performance obligation. For a product (Apple selling an iPhone), when the customer takes possession; for a service (Accenture consulting), as the services are performed.</w:t>
      </w:r>
    </w:p>
    <w:p>
      <w:pPr>
        <w:spacing w:after="120" w:line="276"/>
      </w:pPr>
      <w:r>
        <w:rPr>
          <w:b/>
          <w:bCs/>
          <w:sz w:val="22"/>
          <w:szCs w:val="22"/>
        </w:rPr>
        <w:t xml:space="preserve">Realized or realizable: </w:t>
      </w:r>
      <w:r>
        <w:rPr>
          <w:sz w:val="22"/>
          <w:szCs w:val="22"/>
        </w:rPr>
        <w:t xml:space="preserve">cash or near-cash is received (realized), or collection of the promised payment is reasonably expected (realizable). If Google runs ads for a client due to pay in 30 days, it recognizes revenue when the ad runs (earned) and books a receivable because collection is probable (realizable).</w:t>
      </w:r>
    </w:p>
    <w:p>
      <w:pPr>
        <w:spacing w:after="120" w:line="276"/>
      </w:pPr>
      <w:r>
        <w:rPr>
          <w:sz w:val="22"/>
          <w:szCs w:val="22"/>
        </w:rPr>
        <w:t xml:space="preserve">Crucially, recognition is not tied to cash. Under accrual accounting, revenue is recognized when earned and realizable — which may be before, at, or after cash changes hands.</w:t>
      </w:r>
    </w:p>
    <w:p>
      <w:pPr>
        <w:pStyle w:val="Heading2"/>
        <w:spacing w:after="120" w:before="260"/>
      </w:pPr>
      <w:r>
        <w:rPr>
          <w:b/>
          <w:bCs/>
          <w:color w:val="1F3864"/>
          <w:sz w:val="28"/>
          <w:szCs w:val="28"/>
        </w:rPr>
        <w:t xml:space="preserve">Gross vs. Net Revenue: Incentives and Discounts</w:t>
      </w:r>
    </w:p>
    <w:p>
      <w:pPr>
        <w:spacing w:after="120" w:line="276"/>
      </w:pPr>
      <w:r>
        <w:rPr>
          <w:sz w:val="22"/>
          <w:szCs w:val="22"/>
        </w:rPr>
        <w:t xml:space="preserve">Companies use sales incentives that reduce the amount actually realized, so standards require reporting revenue NET of them — the consideration the company truly expects to receive. Common items:</w:t>
      </w:r>
    </w:p>
    <w:p>
      <w:pPr>
        <w:pStyle w:val="ListParagraph"/>
        <w:numPr>
          <w:ilvl w:val="0"/>
          <w:numId w:val="2"/>
        </w:numPr>
        <w:spacing w:after="80" w:line="276"/>
      </w:pPr>
      <w:r>
        <w:rPr>
          <w:sz w:val="22"/>
          <w:szCs w:val="22"/>
        </w:rPr>
        <w:t xml:space="preserve">Credit-card fees: the processor's fee is netted out — a $10 coffee bought on a card with a 3% fee lets Starbucks record $9.70.</w:t>
      </w:r>
    </w:p>
    <w:p>
      <w:pPr>
        <w:pStyle w:val="ListParagraph"/>
        <w:numPr>
          <w:ilvl w:val="0"/>
          <w:numId w:val="2"/>
        </w:numPr>
        <w:spacing w:after="80" w:line="276"/>
      </w:pPr>
      <w:r>
        <w:rPr>
          <w:sz w:val="22"/>
          <w:szCs w:val="22"/>
        </w:rPr>
        <w:t xml:space="preserve">Trade credit and early-payment discounts: selling on terms like "2/10, net 30" creates a receivable; revenue is booked net of the discount customers are expected to take (record at 98% if they consistently take the 2%).</w:t>
      </w:r>
    </w:p>
    <w:p>
      <w:pPr>
        <w:pStyle w:val="ListParagraph"/>
        <w:numPr>
          <w:ilvl w:val="0"/>
          <w:numId w:val="2"/>
        </w:numPr>
        <w:spacing w:after="80" w:line="276"/>
      </w:pPr>
      <w:r>
        <w:rPr>
          <w:sz w:val="22"/>
          <w:szCs w:val="22"/>
        </w:rPr>
        <w:t xml:space="preserve">Sales returns and allowances: retailers (Macy's) and e-commerce (Zappos) must estimate likely returns from history and reduce revenue, creating a contra-revenue account and a refund liability.</w:t>
      </w:r>
    </w:p>
    <w:p>
      <w:pPr>
        <w:pStyle w:val="ListParagraph"/>
        <w:numPr>
          <w:ilvl w:val="0"/>
          <w:numId w:val="2"/>
        </w:numPr>
        <w:spacing w:after="80" w:line="276"/>
      </w:pPr>
      <w:r>
        <w:rPr>
          <w:sz w:val="22"/>
          <w:szCs w:val="22"/>
        </w:rPr>
        <w:t xml:space="preserve">Other discounts, rebates, chargebacks: significant and hard to project in healthcare and pharmaceuticals.</w:t>
      </w:r>
    </w:p>
    <w:p>
      <w:pPr>
        <w:spacing w:after="120" w:line="276"/>
      </w:pPr>
      <w:r>
        <w:rPr>
          <w:sz w:val="22"/>
          <w:szCs w:val="22"/>
        </w:rPr>
        <w:t xml:space="preserve">The biggest gross-versus-net question is whether a company is a PRINCIPAL or an AGENT. The test is control: if the company controls the good or service before it reaches the customer, it is the principal and reports the full (gross) amount; if it merely arranges the sale, it is the agent and reports only its fee (net). Uber is an agent for its drivers: in the fourth quarter of 2023 it reported about $9.9 billion of revenue on roughly $38 billion of gross bookings, because it records only its cut, not the whole fare. Food-delivery apps work the same way — the restaurant, not the app, books the revenue for the meal. Misclassifying a marketplace as a principal (and booking gross) has caused major restatements, which is a vivid reminder that "revenue" is a choice governed by a rulebook.</w:t>
      </w:r>
    </w:p>
    <w:p>
      <w:pPr>
        <w:pStyle w:val="Heading3"/>
        <w:spacing w:after="80" w:before="180"/>
      </w:pPr>
      <w:r>
        <w:rPr>
          <w:b/>
          <w:bCs/>
          <w:color w:val="1F3864"/>
          <w:sz w:val="24"/>
          <w:szCs w:val="24"/>
        </w:rPr>
        <w:t xml:space="preserve">The cost of not taking an early-payment discount</w:t>
      </w:r>
    </w:p>
    <w:p>
      <w:pPr>
        <w:spacing w:after="120" w:line="276"/>
      </w:pPr>
      <w:r>
        <w:rPr>
          <w:sz w:val="22"/>
          <w:szCs w:val="22"/>
        </w:rPr>
        <w:t xml:space="preserve">Trade credit can look "free," but forgoing even a small discount is costly. In "2/10, net 30," the 2% is earned just for paying 20 days sooner; annualized, that's roughly 37% — very expensive financing. Taking the discount has trade-offs (cash availability, cost of funds, relationships), but it's always worth evaluating.</w:t>
      </w:r>
    </w:p>
    <w:p>
      <w:pPr>
        <w:pStyle w:val="Heading2"/>
        <w:spacing w:after="120" w:before="260"/>
      </w:pPr>
      <w:r>
        <w:rPr>
          <w:b/>
          <w:bCs/>
          <w:color w:val="1F3864"/>
          <w:sz w:val="28"/>
          <w:szCs w:val="28"/>
        </w:rPr>
        <w:t xml:space="preserve">Revenue Recognition Across Scenarios</w:t>
      </w:r>
    </w:p>
    <w:p>
      <w:pPr>
        <w:spacing w:after="120" w:line="276"/>
      </w:pPr>
      <w:r>
        <w:rPr>
          <w:sz w:val="22"/>
          <w:szCs w:val="22"/>
        </w:rPr>
        <w:t xml:space="preserve">Timing depends on the business and the terms:</w:t>
      </w:r>
    </w:p>
    <w:p>
      <w:pPr>
        <w:spacing w:after="120" w:line="276"/>
      </w:pPr>
      <w:r>
        <w:rPr>
          <w:b/>
          <w:bCs/>
          <w:sz w:val="22"/>
          <w:szCs w:val="22"/>
        </w:rPr>
        <w:t xml:space="preserve">Physical goods to end-users for cash (Walmart, in-store Amazon): </w:t>
      </w:r>
      <w:r>
        <w:rPr>
          <w:sz w:val="22"/>
          <w:szCs w:val="22"/>
        </w:rPr>
        <w:t xml:space="preserve">recognized when the customer takes control — at the register or on delivery/acceptance online. The main challenge is estimating returns and discounts at the time of sale.</w:t>
      </w:r>
    </w:p>
    <w:p>
      <w:pPr>
        <w:spacing w:after="120" w:line="276"/>
      </w:pPr>
      <w:r>
        <w:rPr>
          <w:b/>
          <w:bCs/>
          <w:sz w:val="22"/>
          <w:szCs w:val="22"/>
        </w:rPr>
        <w:t xml:space="preserve">Goods or services on credit (Google ads, consulting): </w:t>
      </w:r>
      <w:r>
        <w:rPr>
          <w:sz w:val="22"/>
          <w:szCs w:val="22"/>
        </w:rPr>
        <w:t xml:space="preserve">recognized when delivered or performed and the customer owes payment. The challenge is collectability — estimate bad debts and record an allowance; if the customer takes an early-payment discount, book revenue net.</w:t>
      </w:r>
    </w:p>
    <w:p>
      <w:pPr>
        <w:spacing w:after="120" w:line="276"/>
      </w:pPr>
      <w:r>
        <w:rPr>
          <w:b/>
          <w:bCs/>
          <w:sz w:val="22"/>
          <w:szCs w:val="22"/>
        </w:rPr>
        <w:t xml:space="preserve">Prepaid goods or services delivered later or over time (Microsoft 365, Salesforce, prepaid airline tickets): </w:t>
      </w:r>
      <w:r>
        <w:rPr>
          <w:sz w:val="22"/>
          <w:szCs w:val="22"/>
        </w:rPr>
        <w:t xml:space="preserve">the prepayment is first a liability, deferred (unearned) revenue, recognized as the obligation is satisfied. Salesforce recognizes a $12,000 annual contract at $1,000/month; a United ticket becomes revenue when you fly, not when you buy.</w:t>
      </w:r>
    </w:p>
    <w:p>
      <w:pPr>
        <w:spacing w:after="120" w:line="276"/>
      </w:pPr>
      <w:r>
        <w:rPr>
          <w:b/>
          <w:bCs/>
          <w:sz w:val="22"/>
          <w:szCs w:val="22"/>
        </w:rPr>
        <w:t xml:space="preserve">Long-term projects (Bechtel construction, Boeing defense contracts): </w:t>
      </w:r>
      <w:r>
        <w:rPr>
          <w:sz w:val="22"/>
          <w:szCs w:val="22"/>
        </w:rPr>
        <w:t xml:space="preserve">often the percentage-of-completion method — recognizing revenue and expense as the project progresses, measured by costs incurred vs. total estimated costs, or by milestones. It requires reliable estimates of total cost, revenue, and stage of completion.</w:t>
      </w:r>
    </w:p>
    <w:p>
      <w:pPr>
        <w:spacing w:after="120" w:line="276"/>
      </w:pPr>
      <w:r>
        <w:rPr>
          <w:sz w:val="22"/>
          <w:szCs w:val="22"/>
        </w:rPr>
        <w:t xml:space="preserve">That last method carries a specific risk: because percentage-of-completion keys off ESTIMATED total costs, shaving that estimate pulls revenue forward. In a recent case, shipbuilder Austal USA and its parent settled SEC charges for a scheme to artificially reduce estimated project costs and accelerate revenue; Austal agreed to a $24 million penalty. Whoever controls the cost estimate controls the reported revenue, so this method demands the most scrutiny.</w:t>
      </w:r>
    </w:p>
    <w:p>
      <w:pPr>
        <w:pStyle w:val="Heading2"/>
        <w:spacing w:after="120" w:before="260"/>
      </w:pPr>
      <w:r>
        <w:rPr>
          <w:b/>
          <w:bCs/>
          <w:color w:val="1F3864"/>
          <w:sz w:val="28"/>
          <w:szCs w:val="28"/>
        </w:rPr>
        <w:t xml:space="preserve">When Cash In Is NOT Revenue</w:t>
      </w:r>
    </w:p>
    <w:p>
      <w:pPr>
        <w:spacing w:after="120" w:line="276"/>
      </w:pPr>
      <w:r>
        <w:rPr>
          <w:sz w:val="22"/>
          <w:szCs w:val="22"/>
        </w:rPr>
        <w:t xml:space="preserve">Equally important is knowing what doesn't count:</w:t>
      </w:r>
    </w:p>
    <w:p>
      <w:pPr>
        <w:pStyle w:val="ListParagraph"/>
        <w:numPr>
          <w:ilvl w:val="0"/>
          <w:numId w:val="2"/>
        </w:numPr>
        <w:spacing w:after="80" w:line="276"/>
      </w:pPr>
      <w:r>
        <w:rPr>
          <w:sz w:val="22"/>
          <w:szCs w:val="22"/>
        </w:rPr>
        <w:t xml:space="preserve">Agreements in principle: letters of intent don't create revenue until there's a formal contract, finalized price and terms, and satisfied performance obligations.</w:t>
      </w:r>
    </w:p>
    <w:p>
      <w:pPr>
        <w:pStyle w:val="ListParagraph"/>
        <w:numPr>
          <w:ilvl w:val="0"/>
          <w:numId w:val="2"/>
        </w:numPr>
        <w:spacing w:after="80" w:line="276"/>
      </w:pPr>
      <w:r>
        <w:rPr>
          <w:sz w:val="22"/>
          <w:szCs w:val="22"/>
        </w:rPr>
        <w:t xml:space="preserve">Prepayments for future transactions: cash received before delivery is deferred revenue (a liability), not revenue. Same for partial deposits.</w:t>
      </w:r>
    </w:p>
    <w:p>
      <w:pPr>
        <w:pStyle w:val="ListParagraph"/>
        <w:numPr>
          <w:ilvl w:val="0"/>
          <w:numId w:val="2"/>
        </w:numPr>
        <w:spacing w:after="80" w:line="276"/>
      </w:pPr>
      <w:r>
        <w:rPr>
          <w:sz w:val="22"/>
          <w:szCs w:val="22"/>
        </w:rPr>
        <w:t xml:space="preserve">Cash from financing: issuing stock or borrowing raises cash but isn't revenue — these are financing activities on the cash flow statement and balance sheet.</w:t>
      </w:r>
    </w:p>
    <w:p>
      <w:pPr>
        <w:pStyle w:val="ListParagraph"/>
        <w:numPr>
          <w:ilvl w:val="0"/>
          <w:numId w:val="2"/>
        </w:numPr>
        <w:spacing w:after="80" w:line="276"/>
      </w:pPr>
      <w:r>
        <w:rPr>
          <w:sz w:val="22"/>
          <w:szCs w:val="22"/>
        </w:rPr>
        <w:t xml:space="preserve">Cash from selling assets: proceeds from selling equipment or securities aren't core revenue; only the gain or loss appears, in the non-operating section.</w:t>
      </w:r>
    </w:p>
    <w:p>
      <w:pPr>
        <w:pStyle w:val="Heading2"/>
        <w:spacing w:after="120" w:before="260"/>
      </w:pPr>
      <w:r>
        <w:rPr>
          <w:b/>
          <w:bCs/>
          <w:color w:val="1F3864"/>
          <w:sz w:val="28"/>
          <w:szCs w:val="28"/>
        </w:rPr>
        <w:t xml:space="preserve">Revenue Recognition for Bundled Products (the Five-Step Model)</w:t>
      </w:r>
    </w:p>
    <w:p>
      <w:pPr>
        <w:spacing w:after="120" w:line="276"/>
      </w:pPr>
      <w:r>
        <w:rPr>
          <w:sz w:val="22"/>
          <w:szCs w:val="22"/>
        </w:rPr>
        <w:t xml:space="preserve">Companies often sell multiple goods or services together, and sometimes what looks like one product is several for accounting (an iPhone with pre-installed software and future updates). When a contract has more than one performance obligation, ASC 606 gives a framework to allocate the price and recognize revenue as each obligation is satisfied. Worked example — an iPhone sold for $900, where hardware plus essential software is valued at $850 and free future upgrades at $50, over a five-year device life:</w:t>
      </w:r>
    </w:p>
    <w:p>
      <w:pPr>
        <w:pStyle w:val="ListParagraph"/>
        <w:numPr>
          <w:ilvl w:val="0"/>
          <w:numId w:val="2"/>
        </w:numPr>
        <w:spacing w:after="80" w:line="276"/>
      </w:pPr>
      <w:r>
        <w:rPr>
          <w:sz w:val="22"/>
          <w:szCs w:val="22"/>
        </w:rPr>
        <w:t xml:space="preserve">Step 1 — Identify the contract: the agreement to sell the iPhone with software and future upgrades.</w:t>
      </w:r>
    </w:p>
    <w:p>
      <w:pPr>
        <w:pStyle w:val="ListParagraph"/>
        <w:numPr>
          <w:ilvl w:val="0"/>
          <w:numId w:val="2"/>
        </w:numPr>
        <w:spacing w:after="80" w:line="276"/>
      </w:pPr>
      <w:r>
        <w:rPr>
          <w:sz w:val="22"/>
          <w:szCs w:val="22"/>
        </w:rPr>
        <w:t xml:space="preserve">Step 2 — Identify performance obligations: the hardware + essential software, and the future upgrades — separate if each is distinct.</w:t>
      </w:r>
    </w:p>
    <w:p>
      <w:pPr>
        <w:pStyle w:val="ListParagraph"/>
        <w:numPr>
          <w:ilvl w:val="0"/>
          <w:numId w:val="2"/>
        </w:numPr>
        <w:spacing w:after="80" w:line="276"/>
      </w:pPr>
      <w:r>
        <w:rPr>
          <w:sz w:val="22"/>
          <w:szCs w:val="22"/>
        </w:rPr>
        <w:t xml:space="preserve">Step 3 — Determine the transaction price: $900 total.</w:t>
      </w:r>
    </w:p>
    <w:p>
      <w:pPr>
        <w:pStyle w:val="ListParagraph"/>
        <w:numPr>
          <w:ilvl w:val="0"/>
          <w:numId w:val="2"/>
        </w:numPr>
        <w:spacing w:after="80" w:line="276"/>
      </w:pPr>
      <w:r>
        <w:rPr>
          <w:sz w:val="22"/>
          <w:szCs w:val="22"/>
        </w:rPr>
        <w:t xml:space="preserve">Step 4 — Allocate the price: by relative stand-alone selling prices — $850 to hardware + software, $50 to upgrades (this allocation takes judgment).</w:t>
      </w:r>
    </w:p>
    <w:p>
      <w:pPr>
        <w:pStyle w:val="ListParagraph"/>
        <w:numPr>
          <w:ilvl w:val="0"/>
          <w:numId w:val="2"/>
        </w:numPr>
        <w:spacing w:after="80" w:line="276"/>
      </w:pPr>
      <w:r>
        <w:rPr>
          <w:sz w:val="22"/>
          <w:szCs w:val="22"/>
        </w:rPr>
        <w:t xml:space="preserve">Step 5 — Recognize revenue: $850 at delivery; the $50 of upgrades spread over the five years (about $10/year, straight-line).</w:t>
      </w:r>
    </w:p>
    <w:p>
      <w:pPr>
        <w:pStyle w:val="Heading2"/>
        <w:spacing w:after="120" w:before="260"/>
      </w:pPr>
      <w:r>
        <w:rPr>
          <w:b/>
          <w:bCs/>
          <w:color w:val="1F3864"/>
          <w:sz w:val="28"/>
          <w:szCs w:val="28"/>
        </w:rPr>
        <w:t xml:space="preserve">Finding a Company's Revenue Recognition Methodology</w:t>
      </w:r>
    </w:p>
    <w:p>
      <w:pPr>
        <w:spacing w:after="120" w:line="276"/>
      </w:pPr>
      <w:r>
        <w:rPr>
          <w:sz w:val="22"/>
          <w:szCs w:val="22"/>
        </w:rPr>
        <w:t xml:space="preserve">Because approaches differ and matter, companies must disclose their revenue policies and key assumptions in the financial statements — usually in the "Significant Accounting Policies" note or a dedicated revenue note. The MD&amp;A often adds context on practices and current-year results. Reading these disclosures is essential for understanding how a company reports revenue and for making fair peer comparisons. A good exercise is to pull the revenue-recognition footnote from a SaaS company and from a marketplace and contrast how each describes timing and gross-versus-net treatment.</w:t>
      </w:r>
    </w:p>
    <w:p>
      <w:pPr>
        <w:pStyle w:val="Heading2"/>
        <w:spacing w:after="120" w:before="260"/>
      </w:pPr>
      <w:r>
        <w:rPr>
          <w:b/>
          <w:bCs/>
          <w:color w:val="1F3864"/>
          <w:sz w:val="28"/>
          <w:szCs w:val="28"/>
        </w:rPr>
        <w:t xml:space="preserve">Red Flags to Watch</w:t>
      </w:r>
    </w:p>
    <w:p>
      <w:pPr>
        <w:spacing w:after="120" w:line="276"/>
      </w:pPr>
      <w:r>
        <w:rPr>
          <w:sz w:val="22"/>
          <w:szCs w:val="22"/>
        </w:rPr>
        <w:t xml:space="preserve">A few signals often accompany aggressive or improper revenue recognition:</w:t>
      </w:r>
    </w:p>
    <w:p>
      <w:pPr>
        <w:pStyle w:val="ListParagraph"/>
        <w:numPr>
          <w:ilvl w:val="0"/>
          <w:numId w:val="2"/>
        </w:numPr>
        <w:spacing w:after="80" w:line="276"/>
      </w:pPr>
      <w:r>
        <w:rPr>
          <w:sz w:val="22"/>
          <w:szCs w:val="22"/>
        </w:rPr>
        <w:t xml:space="preserve">Receivables (DSO) rising faster than revenue — sales may be booked before cash is likely to come in.</w:t>
      </w:r>
    </w:p>
    <w:p>
      <w:pPr>
        <w:pStyle w:val="ListParagraph"/>
        <w:numPr>
          <w:ilvl w:val="0"/>
          <w:numId w:val="2"/>
        </w:numPr>
        <w:spacing w:after="80" w:line="276"/>
      </w:pPr>
      <w:r>
        <w:rPr>
          <w:sz w:val="22"/>
          <w:szCs w:val="22"/>
        </w:rPr>
        <w:t xml:space="preserve">"Bill-and-hold" language, or revenue recognized before goods ship or services are delivered.</w:t>
      </w:r>
    </w:p>
    <w:p>
      <w:pPr>
        <w:pStyle w:val="ListParagraph"/>
        <w:numPr>
          <w:ilvl w:val="0"/>
          <w:numId w:val="2"/>
        </w:numPr>
        <w:spacing w:after="80" w:line="276"/>
      </w:pPr>
      <w:r>
        <w:rPr>
          <w:sz w:val="22"/>
          <w:szCs w:val="22"/>
        </w:rPr>
        <w:t xml:space="preserve">Large or sudden changes in return, rebate, or allowance estimates that conveniently lift revenue.</w:t>
      </w:r>
    </w:p>
    <w:p>
      <w:pPr>
        <w:pStyle w:val="ListParagraph"/>
        <w:numPr>
          <w:ilvl w:val="0"/>
          <w:numId w:val="2"/>
        </w:numPr>
        <w:spacing w:after="80" w:line="276"/>
      </w:pPr>
      <w:r>
        <w:rPr>
          <w:sz w:val="22"/>
          <w:szCs w:val="22"/>
        </w:rPr>
        <w:t xml:space="preserve">Revenue growing much faster than cash from operations over several periods.</w:t>
      </w:r>
    </w:p>
    <w:p>
      <w:pPr>
        <w:pStyle w:val="ListParagraph"/>
        <w:numPr>
          <w:ilvl w:val="0"/>
          <w:numId w:val="2"/>
        </w:numPr>
        <w:spacing w:after="80" w:line="276"/>
      </w:pPr>
      <w:r>
        <w:rPr>
          <w:sz w:val="22"/>
          <w:szCs w:val="22"/>
        </w:rPr>
        <w:t xml:space="preserve">Related-party sales or near-identical invoices between two firms (the round-tripping pattern seen at Builder.ai).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2026-08-07T22:03:10.774Z</dcterms:created>
  <dcterms:modified xsi:type="dcterms:W3CDTF">2026-08-07T22:03:10.774Z</dcterms:modified>
</cp:coreProperties>
</file>

<file path=docProps/custom.xml><?xml version="1.0" encoding="utf-8"?>
<Properties xmlns="http://schemas.openxmlformats.org/officeDocument/2006/custom-properties" xmlns:vt="http://schemas.openxmlformats.org/officeDocument/2006/docPropsVTypes"/>
</file>