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283AC" w14:textId="77777777" w:rsidR="00BB190F" w:rsidRDefault="00C264F4">
      <w:pPr>
        <w:pStyle w:val="Heading1"/>
        <w:spacing w:before="120" w:after="80"/>
      </w:pPr>
      <w:r>
        <w:rPr>
          <w:b/>
          <w:bCs/>
          <w:color w:val="1F3864"/>
          <w:sz w:val="34"/>
          <w:szCs w:val="34"/>
        </w:rPr>
        <w:t>Summary Notes — Inventory and Cost of Goods Sold</w:t>
      </w:r>
    </w:p>
    <w:p w14:paraId="18D283AD" w14:textId="77777777" w:rsidR="00BB190F" w:rsidRDefault="00C264F4">
      <w:pPr>
        <w:spacing w:after="160"/>
      </w:pPr>
      <w:r>
        <w:rPr>
          <w:i/>
          <w:iCs/>
          <w:color w:val="595959"/>
        </w:rPr>
        <w:t>Topic: Inventory, COGS, and Working Capital</w:t>
      </w:r>
    </w:p>
    <w:p w14:paraId="18D283AE" w14:textId="77777777" w:rsidR="00BB190F" w:rsidRDefault="00C264F4">
      <w:pPr>
        <w:pStyle w:val="Heading2"/>
        <w:spacing w:before="260" w:after="120"/>
      </w:pPr>
      <w:r>
        <w:rPr>
          <w:b/>
          <w:bCs/>
          <w:color w:val="1F3864"/>
          <w:sz w:val="28"/>
          <w:szCs w:val="28"/>
        </w:rPr>
        <w:t>Inventory — Introduction: Balancing Supply and Demand</w:t>
      </w:r>
    </w:p>
    <w:p w14:paraId="18D283AF" w14:textId="77777777" w:rsidR="00BB190F" w:rsidRDefault="00C264F4">
      <w:pPr>
        <w:spacing w:after="120" w:line="276" w:lineRule="auto"/>
      </w:pPr>
      <w:r>
        <w:t>Inventory is the goods a company holds for sale in the ordinary course of business, or to use in producing those goods — typically raw materials, work-in-progress, and finished goods.</w:t>
      </w:r>
    </w:p>
    <w:p w14:paraId="18D283B0" w14:textId="77777777" w:rsidR="00BB190F" w:rsidRDefault="00C264F4">
      <w:pPr>
        <w:spacing w:after="120" w:line="276" w:lineRule="auto"/>
      </w:pPr>
      <w:r>
        <w:t>Managing it is a balancing act: hold enough to meet demand without stockouts, but not so much that holding costs (storage, obsolescence, insurance, financing) pile up. Poor inventory management means either heavy costs or lost sales, and it's especially hard for companies with complex global supply chains.</w:t>
      </w:r>
    </w:p>
    <w:p w14:paraId="18D283B1" w14:textId="77777777" w:rsidR="00BB190F" w:rsidRDefault="00C264F4">
      <w:pPr>
        <w:pStyle w:val="Heading3"/>
        <w:spacing w:before="180" w:after="80"/>
      </w:pPr>
      <w:r>
        <w:rPr>
          <w:b/>
          <w:bCs/>
          <w:color w:val="1F3864"/>
        </w:rPr>
        <w:t xml:space="preserve">Types of </w:t>
      </w:r>
      <w:proofErr w:type="gramStart"/>
      <w:r>
        <w:rPr>
          <w:b/>
          <w:bCs/>
          <w:color w:val="1F3864"/>
        </w:rPr>
        <w:t>inventory</w:t>
      </w:r>
      <w:proofErr w:type="gramEnd"/>
      <w:r>
        <w:rPr>
          <w:b/>
          <w:bCs/>
          <w:color w:val="1F3864"/>
        </w:rPr>
        <w:t xml:space="preserve"> by company type</w:t>
      </w:r>
    </w:p>
    <w:p w14:paraId="18D283B2" w14:textId="77777777" w:rsidR="00BB190F" w:rsidRDefault="00C264F4">
      <w:pPr>
        <w:pStyle w:val="ListParagraph"/>
        <w:numPr>
          <w:ilvl w:val="0"/>
          <w:numId w:val="2"/>
        </w:numPr>
        <w:spacing w:after="80" w:line="276" w:lineRule="auto"/>
      </w:pPr>
      <w:r>
        <w:rPr>
          <w:b/>
          <w:bCs/>
        </w:rPr>
        <w:t xml:space="preserve">Merchandisers (Target, Best Buy): </w:t>
      </w:r>
      <w:r>
        <w:t>buy finished goods and resell them largely unchanged — one type: merchandise inventory.</w:t>
      </w:r>
    </w:p>
    <w:p w14:paraId="18D283B3" w14:textId="77777777" w:rsidR="00BB190F" w:rsidRDefault="00C264F4">
      <w:pPr>
        <w:pStyle w:val="ListParagraph"/>
        <w:numPr>
          <w:ilvl w:val="0"/>
          <w:numId w:val="2"/>
        </w:numPr>
        <w:spacing w:after="80" w:line="276" w:lineRule="auto"/>
      </w:pPr>
      <w:r>
        <w:rPr>
          <w:b/>
          <w:bCs/>
        </w:rPr>
        <w:t xml:space="preserve">Manufacturers (Boeing, P&amp;G): </w:t>
      </w:r>
      <w:r>
        <w:t>make what they sell and hold three types — raw materials (inputs), work-in-progress (partly finished), and finished goods (ready to sell).</w:t>
      </w:r>
    </w:p>
    <w:p w14:paraId="18D283B4" w14:textId="77777777" w:rsidR="00BB190F" w:rsidRDefault="00C264F4">
      <w:pPr>
        <w:pStyle w:val="ListParagraph"/>
        <w:numPr>
          <w:ilvl w:val="0"/>
          <w:numId w:val="2"/>
        </w:numPr>
        <w:spacing w:after="80" w:line="276" w:lineRule="auto"/>
      </w:pPr>
      <w:r>
        <w:rPr>
          <w:b/>
          <w:bCs/>
        </w:rPr>
        <w:t xml:space="preserve">Service companies (Deloitte, Accenture, Zoom): </w:t>
      </w:r>
      <w:proofErr w:type="gramStart"/>
      <w:r>
        <w:t>generally</w:t>
      </w:r>
      <w:proofErr w:type="gramEnd"/>
      <w:r>
        <w:t xml:space="preserve"> hold no physical inventory beyond minor supplies.</w:t>
      </w:r>
    </w:p>
    <w:p w14:paraId="18D283B5" w14:textId="77777777" w:rsidR="00BB190F" w:rsidRDefault="00C264F4">
      <w:pPr>
        <w:pStyle w:val="Heading2"/>
        <w:spacing w:before="260" w:after="120"/>
      </w:pPr>
      <w:r>
        <w:rPr>
          <w:b/>
          <w:bCs/>
          <w:color w:val="1F3864"/>
          <w:sz w:val="28"/>
          <w:szCs w:val="28"/>
        </w:rPr>
        <w:t>Accounting for Inventory</w:t>
      </w:r>
    </w:p>
    <w:p w14:paraId="18D283B6" w14:textId="77777777" w:rsidR="00BB190F" w:rsidRDefault="00C264F4">
      <w:pPr>
        <w:spacing w:after="120" w:line="276" w:lineRule="auto"/>
      </w:pPr>
      <w:r>
        <w:t>When inventory is bought or made, its cost is capitalized — recorded as a balance-sheet asset with no immediate income effect. Only when the item is sold (and revenue recognized) does its cost become an expense, Cost of Goods Sold (COGS). This follows the matching principle: expenses land in the same period as the revenue they generate.</w:t>
      </w:r>
    </w:p>
    <w:p w14:paraId="18D283B7" w14:textId="77777777" w:rsidR="00BB190F" w:rsidRDefault="00C264F4">
      <w:pPr>
        <w:pStyle w:val="Heading3"/>
        <w:spacing w:before="180" w:after="80"/>
      </w:pPr>
      <w:r>
        <w:rPr>
          <w:b/>
          <w:bCs/>
          <w:color w:val="1F3864"/>
        </w:rPr>
        <w:t>The inventory equation</w:t>
      </w:r>
    </w:p>
    <w:p w14:paraId="18D283B8" w14:textId="77777777" w:rsidR="00BB190F" w:rsidRDefault="00C264F4">
      <w:pPr>
        <w:spacing w:before="40" w:after="120"/>
        <w:jc w:val="center"/>
      </w:pPr>
      <w:r>
        <w:rPr>
          <w:b/>
          <w:bCs/>
          <w:color w:val="1F3864"/>
        </w:rPr>
        <w:t>Beginning Inventory + Purchases − Ending Inventory = COGS</w:t>
      </w:r>
    </w:p>
    <w:p w14:paraId="18D283B9" w14:textId="77777777" w:rsidR="00BB190F" w:rsidRDefault="00C264F4">
      <w:pPr>
        <w:spacing w:after="120" w:line="276" w:lineRule="auto"/>
      </w:pPr>
      <w:r>
        <w:t>The cost of what was sold equals what you started with, plus what you added, minus what remained. Note the direct link between ending inventory and COGS — overstating ending inventory understates COGS and overstates profit, which is why auditors physically verify inventory.</w:t>
      </w:r>
    </w:p>
    <w:p w14:paraId="18D283BA" w14:textId="77777777" w:rsidR="00BB190F" w:rsidRDefault="00C264F4">
      <w:pPr>
        <w:pStyle w:val="Heading2"/>
        <w:spacing w:before="260" w:after="120"/>
      </w:pPr>
      <w:r>
        <w:rPr>
          <w:b/>
          <w:bCs/>
          <w:color w:val="1F3864"/>
          <w:sz w:val="28"/>
          <w:szCs w:val="28"/>
        </w:rPr>
        <w:t>Inventory Costing Methods: Choosing an Assumption</w:t>
      </w:r>
    </w:p>
    <w:p w14:paraId="18D283BB" w14:textId="77777777" w:rsidR="00BB190F" w:rsidRDefault="00C264F4">
      <w:pPr>
        <w:spacing w:after="120" w:line="276" w:lineRule="auto"/>
      </w:pPr>
      <w:r>
        <w:t xml:space="preserve">Because unit costs change over time (usually rising with inflation), the method used to assign </w:t>
      </w:r>
      <w:proofErr w:type="gramStart"/>
      <w:r>
        <w:t>cost</w:t>
      </w:r>
      <w:proofErr w:type="gramEnd"/>
      <w:r>
        <w:t xml:space="preserve"> to units sold (COGS) versus units remaining (ending inventory) matters:</w:t>
      </w:r>
    </w:p>
    <w:p w14:paraId="18D283BC" w14:textId="77777777" w:rsidR="00BB190F" w:rsidRDefault="00C264F4">
      <w:pPr>
        <w:pStyle w:val="ListParagraph"/>
        <w:numPr>
          <w:ilvl w:val="0"/>
          <w:numId w:val="2"/>
        </w:numPr>
        <w:spacing w:after="80" w:line="276" w:lineRule="auto"/>
      </w:pPr>
      <w:r>
        <w:rPr>
          <w:b/>
          <w:bCs/>
        </w:rPr>
        <w:t xml:space="preserve">Specific identification: </w:t>
      </w:r>
      <w:r>
        <w:t>track each item's actual cost — for unique, high-value goods like jewelry (Tiffany), real estate, or cars (Ferrari).</w:t>
      </w:r>
    </w:p>
    <w:p w14:paraId="18D283BD" w14:textId="77777777" w:rsidR="00BB190F" w:rsidRDefault="00C264F4">
      <w:pPr>
        <w:pStyle w:val="ListParagraph"/>
        <w:numPr>
          <w:ilvl w:val="0"/>
          <w:numId w:val="2"/>
        </w:numPr>
        <w:spacing w:after="80" w:line="276" w:lineRule="auto"/>
      </w:pPr>
      <w:r>
        <w:rPr>
          <w:b/>
          <w:bCs/>
        </w:rPr>
        <w:t xml:space="preserve">First-In, First-Out (FIFO): </w:t>
      </w:r>
      <w:r>
        <w:t>the oldest costs flow to COGS; ending inventory reflects the most recent costs.</w:t>
      </w:r>
    </w:p>
    <w:p w14:paraId="18D283BE" w14:textId="77777777" w:rsidR="00BB190F" w:rsidRDefault="00C264F4">
      <w:pPr>
        <w:pStyle w:val="ListParagraph"/>
        <w:numPr>
          <w:ilvl w:val="0"/>
          <w:numId w:val="2"/>
        </w:numPr>
        <w:spacing w:after="80" w:line="276" w:lineRule="auto"/>
      </w:pPr>
      <w:r>
        <w:rPr>
          <w:b/>
          <w:bCs/>
        </w:rPr>
        <w:t xml:space="preserve">Last-In, First-Out (LIFO): </w:t>
      </w:r>
      <w:r>
        <w:t>the newest costs flow to COGS; ending inventory reflects the oldest costs.</w:t>
      </w:r>
    </w:p>
    <w:p w14:paraId="18D283BF" w14:textId="77777777" w:rsidR="00BB190F" w:rsidRDefault="00C264F4">
      <w:pPr>
        <w:pStyle w:val="ListParagraph"/>
        <w:numPr>
          <w:ilvl w:val="0"/>
          <w:numId w:val="2"/>
        </w:numPr>
        <w:spacing w:after="80" w:line="276" w:lineRule="auto"/>
      </w:pPr>
      <w:r>
        <w:rPr>
          <w:b/>
          <w:bCs/>
        </w:rPr>
        <w:lastRenderedPageBreak/>
        <w:t xml:space="preserve">Average cost: </w:t>
      </w:r>
      <w:r>
        <w:t>a weighted average across all units available — used for interchangeable goods like grain (Cargill), jet fuel (Southwest), or bulk chemicals.</w:t>
      </w:r>
    </w:p>
    <w:p w14:paraId="18D283C0" w14:textId="77777777" w:rsidR="00BB190F" w:rsidRDefault="00C264F4">
      <w:pPr>
        <w:spacing w:after="120" w:line="276" w:lineRule="auto"/>
      </w:pPr>
      <w:r>
        <w:rPr>
          <w:b/>
          <w:bCs/>
        </w:rPr>
        <w:t xml:space="preserve">Important: </w:t>
      </w:r>
      <w:r>
        <w:t>the method is a cost-flow ASSUMPTION, not the physical flow. A company using LIFO may still ship its oldest goods first to avoid spoilage.</w:t>
      </w:r>
    </w:p>
    <w:p w14:paraId="18D283C1" w14:textId="77777777" w:rsidR="00BB190F" w:rsidRDefault="00C264F4">
      <w:pPr>
        <w:pStyle w:val="Heading2"/>
        <w:spacing w:before="260" w:after="120"/>
      </w:pPr>
      <w:r>
        <w:rPr>
          <w:b/>
          <w:bCs/>
          <w:color w:val="1F3864"/>
          <w:sz w:val="28"/>
          <w:szCs w:val="28"/>
        </w:rPr>
        <w:t>How the Method Affects the Financial Statements</w:t>
      </w:r>
    </w:p>
    <w:p w14:paraId="18D283C2" w14:textId="77777777" w:rsidR="00BB190F" w:rsidRDefault="00C264F4">
      <w:pPr>
        <w:spacing w:after="120" w:line="276" w:lineRule="auto"/>
      </w:pPr>
      <w:r>
        <w:t>In periods of changing prices, the choice materially changes reported profit and balance-sheet value. In RISING prices (the common case):</w:t>
      </w:r>
    </w:p>
    <w:p w14:paraId="11038417" w14:textId="260CB741" w:rsidR="00FB5D2A" w:rsidRDefault="00FB5D2A">
      <w:pPr>
        <w:spacing w:after="120"/>
      </w:pPr>
      <w:r w:rsidRPr="00FB5D2A">
        <w:drawing>
          <wp:inline distT="0" distB="0" distL="0" distR="0" wp14:anchorId="53BC19DE" wp14:editId="1D03C4F3">
            <wp:extent cx="5943600" cy="1520190"/>
            <wp:effectExtent l="0" t="0" r="0" b="0"/>
            <wp:docPr id="1712101864" name="Picture 1" descr="FIFO and LIFO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01864" name="Picture 1" descr="FIFO and LIFO descripti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520190"/>
                    </a:xfrm>
                    <a:prstGeom prst="rect">
                      <a:avLst/>
                    </a:prstGeom>
                    <a:noFill/>
                    <a:ln>
                      <a:noFill/>
                    </a:ln>
                  </pic:spPr>
                </pic:pic>
              </a:graphicData>
            </a:graphic>
          </wp:inline>
        </w:drawing>
      </w:r>
    </w:p>
    <w:p w14:paraId="18D283D8" w14:textId="77777777" w:rsidR="00BB190F" w:rsidRDefault="00C264F4">
      <w:pPr>
        <w:spacing w:after="120" w:line="276" w:lineRule="auto"/>
      </w:pPr>
      <w:r>
        <w:t xml:space="preserve">Total taxes over the life of the business are similar under either method; what differs is timing. Paying tax later (LIFO in inflation) is worth more because of the time value of money. In FALLING </w:t>
      </w:r>
      <w:proofErr w:type="gramStart"/>
      <w:r>
        <w:t>prices</w:t>
      </w:r>
      <w:proofErr w:type="gramEnd"/>
      <w:r>
        <w:t xml:space="preserve"> the effects reverse. A useful summary: LIFO gives a current-looking COGS but an outdated balance-sheet inventory; FIFO gives a current-looking balance-sheet inventory but an outdated COGS.</w:t>
      </w:r>
    </w:p>
    <w:p w14:paraId="18D283D9" w14:textId="77777777" w:rsidR="00BB190F" w:rsidRDefault="00C264F4">
      <w:pPr>
        <w:pStyle w:val="Heading3"/>
        <w:spacing w:before="180" w:after="80"/>
      </w:pPr>
      <w:r>
        <w:rPr>
          <w:b/>
          <w:bCs/>
          <w:color w:val="1F3864"/>
        </w:rPr>
        <w:t>A worked FIFO vs. LIFO example</w:t>
      </w:r>
    </w:p>
    <w:p w14:paraId="18D283DA" w14:textId="77777777" w:rsidR="00BB190F" w:rsidRDefault="00C264F4">
      <w:pPr>
        <w:spacing w:after="120" w:line="276" w:lineRule="auto"/>
      </w:pPr>
      <w:r>
        <w:t>Take identical facts: buy 100 units at $10, then 100 units at $14, and sell 120 units at $20 (revenue $2,400), leaving 80 units on hand.</w:t>
      </w:r>
    </w:p>
    <w:p w14:paraId="18D283DB" w14:textId="77777777" w:rsidR="00BB190F" w:rsidRDefault="00C264F4">
      <w:pPr>
        <w:pStyle w:val="ListParagraph"/>
        <w:numPr>
          <w:ilvl w:val="0"/>
          <w:numId w:val="2"/>
        </w:numPr>
        <w:spacing w:after="80" w:line="276" w:lineRule="auto"/>
      </w:pPr>
      <w:r>
        <w:t>FIFO: COGS = 100×$10 + 20×$14 = $1,280; gross profit $1,120; ending inventory 80×$14 = $1,120 (recent cost).</w:t>
      </w:r>
    </w:p>
    <w:p w14:paraId="18D283DC" w14:textId="77777777" w:rsidR="00BB190F" w:rsidRDefault="00C264F4">
      <w:pPr>
        <w:pStyle w:val="ListParagraph"/>
        <w:numPr>
          <w:ilvl w:val="0"/>
          <w:numId w:val="2"/>
        </w:numPr>
        <w:spacing w:after="80" w:line="276" w:lineRule="auto"/>
      </w:pPr>
      <w:r>
        <w:t>LIFO: COGS = 100×$14 + 20×$10 = $1,600; gross profit $800; ending inventory 80×$10 = $800 (old cost).</w:t>
      </w:r>
    </w:p>
    <w:p w14:paraId="18D283DD" w14:textId="77777777" w:rsidR="00BB190F" w:rsidRDefault="00C264F4">
      <w:pPr>
        <w:spacing w:after="120" w:line="276" w:lineRule="auto"/>
      </w:pPr>
      <w:r>
        <w:t xml:space="preserve">At a 25% tax rate, LIFO's higher COGS </w:t>
      </w:r>
      <w:proofErr w:type="gramStart"/>
      <w:r>
        <w:t>defers</w:t>
      </w:r>
      <w:proofErr w:type="gramEnd"/>
      <w:r>
        <w:t xml:space="preserve"> about $80 of tax this period ($200 vs. $280), at the cost of a lower, staler balance-sheet inventory. Over the life of the business the totals converge; only the timing differs.</w:t>
      </w:r>
    </w:p>
    <w:p w14:paraId="18D283DE" w14:textId="77777777" w:rsidR="00BB190F" w:rsidRDefault="00C264F4">
      <w:pPr>
        <w:pStyle w:val="Heading3"/>
        <w:spacing w:before="180" w:after="80"/>
      </w:pPr>
      <w:r>
        <w:rPr>
          <w:b/>
          <w:bCs/>
          <w:color w:val="1F3864"/>
        </w:rPr>
        <w:t>Regulation and global standards</w:t>
      </w:r>
    </w:p>
    <w:p w14:paraId="18D283DF" w14:textId="77777777" w:rsidR="00BB190F" w:rsidRDefault="00C264F4">
      <w:pPr>
        <w:pStyle w:val="ListParagraph"/>
        <w:numPr>
          <w:ilvl w:val="0"/>
          <w:numId w:val="2"/>
        </w:numPr>
        <w:spacing w:after="80" w:line="276" w:lineRule="auto"/>
      </w:pPr>
      <w:r>
        <w:rPr>
          <w:b/>
          <w:bCs/>
        </w:rPr>
        <w:t xml:space="preserve">US GAAP: </w:t>
      </w:r>
      <w:r>
        <w:t>permits all these methods — but under the LIFO conformity rule, a company that uses LIFO for taxes must also use it for financial reporting.</w:t>
      </w:r>
    </w:p>
    <w:p w14:paraId="18D283E0" w14:textId="77777777" w:rsidR="00BB190F" w:rsidRDefault="00C264F4">
      <w:pPr>
        <w:pStyle w:val="ListParagraph"/>
        <w:numPr>
          <w:ilvl w:val="0"/>
          <w:numId w:val="2"/>
        </w:numPr>
        <w:spacing w:after="80" w:line="276" w:lineRule="auto"/>
      </w:pPr>
      <w:r>
        <w:rPr>
          <w:b/>
          <w:bCs/>
        </w:rPr>
        <w:t xml:space="preserve">IFRS: </w:t>
      </w:r>
      <w:r>
        <w:t>prohibits LIFO entirely.</w:t>
      </w:r>
    </w:p>
    <w:p w14:paraId="18D283E1" w14:textId="77777777" w:rsidR="00BB190F" w:rsidRDefault="00C264F4">
      <w:pPr>
        <w:pStyle w:val="ListParagraph"/>
        <w:numPr>
          <w:ilvl w:val="0"/>
          <w:numId w:val="2"/>
        </w:numPr>
        <w:spacing w:after="80" w:line="276" w:lineRule="auto"/>
      </w:pPr>
      <w:r>
        <w:rPr>
          <w:b/>
          <w:bCs/>
        </w:rPr>
        <w:t xml:space="preserve">Consistency: </w:t>
      </w:r>
      <w:r>
        <w:t>US GAAP allows different methods for different inventory types; IFRS requires the same method for inventories of similar nature and use.</w:t>
      </w:r>
    </w:p>
    <w:p w14:paraId="18D283E2" w14:textId="77777777" w:rsidR="00BB190F" w:rsidRDefault="00C264F4">
      <w:pPr>
        <w:spacing w:after="120" w:line="276" w:lineRule="auto"/>
      </w:pPr>
      <w:r>
        <w:lastRenderedPageBreak/>
        <w:t>These differences complicate cross-border comparison — a US retailer on LIFO versus a European retailer on FIFO aren't directly comparable without adjustment.</w:t>
      </w:r>
    </w:p>
    <w:p w14:paraId="18D283E3" w14:textId="77777777" w:rsidR="00BB190F" w:rsidRDefault="00C264F4">
      <w:pPr>
        <w:pStyle w:val="Heading2"/>
        <w:spacing w:before="260" w:after="120"/>
      </w:pPr>
      <w:r>
        <w:rPr>
          <w:b/>
          <w:bCs/>
          <w:color w:val="1F3864"/>
          <w:sz w:val="28"/>
          <w:szCs w:val="28"/>
        </w:rPr>
        <w:t>LIFO in Practice</w:t>
      </w:r>
    </w:p>
    <w:p w14:paraId="18D283E4" w14:textId="77777777" w:rsidR="00BB190F" w:rsidRDefault="00C264F4">
      <w:pPr>
        <w:pStyle w:val="ListParagraph"/>
        <w:numPr>
          <w:ilvl w:val="0"/>
          <w:numId w:val="2"/>
        </w:numPr>
        <w:spacing w:after="80" w:line="276" w:lineRule="auto"/>
      </w:pPr>
      <w:r>
        <w:rPr>
          <w:b/>
          <w:bCs/>
        </w:rPr>
        <w:t xml:space="preserve">Tax advantage in rising prices: </w:t>
      </w:r>
      <w:r>
        <w:t xml:space="preserve">higher COGS lowers taxable income and </w:t>
      </w:r>
      <w:proofErr w:type="gramStart"/>
      <w:r>
        <w:t>defers</w:t>
      </w:r>
      <w:proofErr w:type="gramEnd"/>
      <w:r>
        <w:t xml:space="preserve"> cash taxes — a real economic benefit from the time value of money. This benefit grows exactly when inflation is high: the 2021–2023 inflation spike swelled companies' "LIFO reserves" (the gap between LIFO and FIFO inventory values) and the taxes they deferred. Because IFRS bans LIFO, most of the world never sees this effect.</w:t>
      </w:r>
    </w:p>
    <w:p w14:paraId="18D283E5" w14:textId="77777777" w:rsidR="00BB190F" w:rsidRDefault="00C264F4">
      <w:pPr>
        <w:pStyle w:val="ListParagraph"/>
        <w:numPr>
          <w:ilvl w:val="0"/>
          <w:numId w:val="2"/>
        </w:numPr>
        <w:spacing w:after="80" w:line="276" w:lineRule="auto"/>
      </w:pPr>
      <w:r>
        <w:rPr>
          <w:b/>
          <w:bCs/>
        </w:rPr>
        <w:t xml:space="preserve">LIFO liquidation: </w:t>
      </w:r>
      <w:r>
        <w:t>deliberately drawing down inventory sells goods carried at old, low costs against current higher prices, temporarily boosting profit — but leaving lower inventory and higher future replenishment costs.</w:t>
      </w:r>
    </w:p>
    <w:p w14:paraId="18D283E6" w14:textId="77777777" w:rsidR="00BB190F" w:rsidRDefault="00C264F4">
      <w:pPr>
        <w:spacing w:after="120" w:line="276" w:lineRule="auto"/>
      </w:pPr>
      <w:r>
        <w:t>Big inventory swings aren't always earnings management. Ahead of President Trump's second term and expected tariffs, some companies front-loaded orders; after the April 2025 tariff announcements, some paused replenishment; and subsequent tariff changes and speculation drove large swings in both inventory size and cost. It has been genuinely hard to plan, execute, and analyze inventory performance in this environment.</w:t>
      </w:r>
    </w:p>
    <w:p w14:paraId="18D283E7" w14:textId="77777777" w:rsidR="00BB190F" w:rsidRDefault="00C264F4">
      <w:pPr>
        <w:pStyle w:val="Heading2"/>
        <w:spacing w:before="260" w:after="120"/>
      </w:pPr>
      <w:r>
        <w:rPr>
          <w:b/>
          <w:bCs/>
          <w:color w:val="1F3864"/>
          <w:sz w:val="28"/>
          <w:szCs w:val="28"/>
        </w:rPr>
        <w:t>Inventory Impairment: Recognizing Losses in Value</w:t>
      </w:r>
    </w:p>
    <w:p w14:paraId="18D283E8" w14:textId="77777777" w:rsidR="00BB190F" w:rsidRDefault="00C264F4">
      <w:pPr>
        <w:spacing w:after="120" w:line="276" w:lineRule="auto"/>
      </w:pPr>
      <w:r>
        <w:t>Inventory starts on the books at cost, but its value can fall — obsolescence (outdated electronics at Best Buy), spoilage (perishables at Kroger), damage, or falling market prices.</w:t>
      </w:r>
    </w:p>
    <w:p w14:paraId="18D283E9" w14:textId="77777777" w:rsidR="00BB190F" w:rsidRDefault="00C264F4">
      <w:pPr>
        <w:spacing w:after="120" w:line="276" w:lineRule="auto"/>
      </w:pPr>
      <w:r>
        <w:rPr>
          <w:b/>
          <w:bCs/>
        </w:rPr>
        <w:t xml:space="preserve">Lower of cost or market: </w:t>
      </w:r>
      <w:r>
        <w:t>if cost exceeds current market value (technically net realizable value — estimated selling price less costs to complete, dispose, and transport), the inventory must be written down.</w:t>
      </w:r>
    </w:p>
    <w:p w14:paraId="18D283EA" w14:textId="77777777" w:rsidR="00BB190F" w:rsidRDefault="00C264F4">
      <w:pPr>
        <w:pStyle w:val="Heading3"/>
        <w:spacing w:before="180" w:after="80"/>
      </w:pPr>
      <w:r>
        <w:rPr>
          <w:b/>
          <w:bCs/>
          <w:color w:val="1F3864"/>
        </w:rPr>
        <w:t>Impact of a write-down</w:t>
      </w:r>
    </w:p>
    <w:p w14:paraId="18D283EB" w14:textId="77777777" w:rsidR="00BB190F" w:rsidRDefault="00C264F4">
      <w:pPr>
        <w:pStyle w:val="ListParagraph"/>
        <w:numPr>
          <w:ilvl w:val="0"/>
          <w:numId w:val="2"/>
        </w:numPr>
        <w:spacing w:after="80" w:line="276" w:lineRule="auto"/>
      </w:pPr>
      <w:r>
        <w:t xml:space="preserve">The </w:t>
      </w:r>
      <w:proofErr w:type="gramStart"/>
      <w:r>
        <w:t>balance-sheet</w:t>
      </w:r>
      <w:proofErr w:type="gramEnd"/>
      <w:r>
        <w:t xml:space="preserve"> inventory value drops to the lower market value.</w:t>
      </w:r>
    </w:p>
    <w:p w14:paraId="18D283EC" w14:textId="77777777" w:rsidR="00BB190F" w:rsidRDefault="00C264F4">
      <w:pPr>
        <w:pStyle w:val="ListParagraph"/>
        <w:numPr>
          <w:ilvl w:val="0"/>
          <w:numId w:val="2"/>
        </w:numPr>
        <w:spacing w:after="80" w:line="276" w:lineRule="auto"/>
      </w:pPr>
      <w:r>
        <w:t>The write-down is an expense on the income statement in the period the value falls, directly reducing profit (e.g., Gap writing down outdated seasonal clothing).</w:t>
      </w:r>
    </w:p>
    <w:p w14:paraId="18D283ED" w14:textId="77777777" w:rsidR="00BB190F" w:rsidRDefault="00C264F4">
      <w:pPr>
        <w:spacing w:after="120" w:line="276" w:lineRule="auto"/>
      </w:pPr>
      <w:r>
        <w:rPr>
          <w:b/>
          <w:bCs/>
        </w:rPr>
        <w:t xml:space="preserve">Conservatism: </w:t>
      </w:r>
      <w:r>
        <w:t xml:space="preserve">if market value later rises above cost, no </w:t>
      </w:r>
      <w:proofErr w:type="spellStart"/>
      <w:r>
        <w:t>write-UP</w:t>
      </w:r>
      <w:proofErr w:type="spellEnd"/>
      <w:r>
        <w:t xml:space="preserve"> is allowed — losses are booked when probable, gains only when realized.</w:t>
      </w:r>
    </w:p>
    <w:p w14:paraId="18D283EE" w14:textId="77777777" w:rsidR="00BB190F" w:rsidRDefault="00C264F4">
      <w:pPr>
        <w:spacing w:after="120" w:line="276" w:lineRule="auto"/>
      </w:pPr>
      <w:r>
        <w:t>These write-downs are common when a bet on demand goes wrong. In 2022, Target badly misjudged demand, ended up with far too much of the wrong inventory, and took heavy markdowns and write-downs that crushed its margins for several quarters. Peloton is an even sharper illustration of the full demand cycle. During the pandemic (2020–2021), demand for its connected-fitness equipment surged, and the company aggressively ramped up inventory and manufacturing capacity to keep pace. When demand reversed sharply as</w:t>
      </w:r>
      <w:r>
        <w:t xml:space="preserve"> the pandemic eased in 2022, Peloton was left badly over-stocked — inventory ballooned toward $1 billion, and the company recorded roughly $180 million of inventory impairment in a single quarter (early 2022), plus hundreds of millions more in inventory reserves and </w:t>
      </w:r>
      <w:r>
        <w:lastRenderedPageBreak/>
        <w:t xml:space="preserve">markdowns over the year. The lesson in both cases: inventory is a bet on future demand, and when the bet is </w:t>
      </w:r>
      <w:proofErr w:type="gramStart"/>
      <w:r>
        <w:t>wrong</w:t>
      </w:r>
      <w:proofErr w:type="gramEnd"/>
      <w:r>
        <w:t xml:space="preserve"> the correction flows straight through COGS and write-downs into profit. A rising Days Inventory and a growing </w:t>
      </w:r>
      <w:proofErr w:type="gramStart"/>
      <w:r>
        <w:t>finished-goods</w:t>
      </w:r>
      <w:proofErr w:type="gramEnd"/>
      <w:r>
        <w:t xml:space="preserve"> balanc</w:t>
      </w:r>
      <w:r>
        <w:t>e would have flashed the warning.</w:t>
      </w:r>
    </w:p>
    <w:p w14:paraId="18D283EF" w14:textId="77777777" w:rsidR="00BB190F" w:rsidRDefault="00C264F4">
      <w:pPr>
        <w:pStyle w:val="Heading2"/>
        <w:spacing w:before="260" w:after="120"/>
      </w:pPr>
      <w:r>
        <w:rPr>
          <w:b/>
          <w:bCs/>
          <w:color w:val="1F3864"/>
          <w:sz w:val="28"/>
          <w:szCs w:val="28"/>
        </w:rPr>
        <w:t>Inventory Efficiency: Turnover and Days Inventory Outstanding</w:t>
      </w:r>
    </w:p>
    <w:p w14:paraId="18D283F0" w14:textId="77777777" w:rsidR="00BB190F" w:rsidRDefault="00C264F4">
      <w:pPr>
        <w:spacing w:after="120" w:line="276" w:lineRule="auto"/>
      </w:pPr>
      <w:r>
        <w:rPr>
          <w:b/>
          <w:bCs/>
        </w:rPr>
        <w:t xml:space="preserve">Inventory turnover: </w:t>
      </w:r>
      <w:r>
        <w:t>how many times inventory is sold and replaced in a period; higher generally means more efficient management.</w:t>
      </w:r>
    </w:p>
    <w:p w14:paraId="18D283F1" w14:textId="77777777" w:rsidR="00BB190F" w:rsidRDefault="00C264F4">
      <w:pPr>
        <w:spacing w:before="40" w:after="120"/>
        <w:jc w:val="center"/>
      </w:pPr>
      <w:r>
        <w:rPr>
          <w:b/>
          <w:bCs/>
          <w:color w:val="1F3864"/>
        </w:rPr>
        <w:t>Inventory Turnover = COGS / Average Inventory</w:t>
      </w:r>
    </w:p>
    <w:p w14:paraId="18D283F2" w14:textId="77777777" w:rsidR="00BB190F" w:rsidRDefault="00C264F4">
      <w:pPr>
        <w:spacing w:after="120" w:line="276" w:lineRule="auto"/>
      </w:pPr>
      <w:r>
        <w:rPr>
          <w:b/>
          <w:bCs/>
        </w:rPr>
        <w:t xml:space="preserve">Days Inventory Outstanding (DIO): </w:t>
      </w:r>
      <w:r>
        <w:t>average days to sell inventory; lower is generally better.</w:t>
      </w:r>
    </w:p>
    <w:p w14:paraId="18D283F3" w14:textId="77777777" w:rsidR="00BB190F" w:rsidRDefault="00C264F4">
      <w:pPr>
        <w:spacing w:before="40" w:after="120"/>
        <w:jc w:val="center"/>
      </w:pPr>
      <w:r>
        <w:rPr>
          <w:b/>
          <w:bCs/>
          <w:color w:val="1F3864"/>
        </w:rPr>
        <w:t>DIO = Average Inventory / (COGS / 365) = 365 / Inventory Turnover</w:t>
      </w:r>
    </w:p>
    <w:p w14:paraId="18D283F4" w14:textId="77777777" w:rsidR="00BB190F" w:rsidRDefault="00C264F4">
      <w:pPr>
        <w:spacing w:after="120" w:line="276" w:lineRule="auto"/>
      </w:pPr>
      <w:r>
        <w:t xml:space="preserve">Metrics vary widely by </w:t>
      </w:r>
      <w:proofErr w:type="gramStart"/>
      <w:r>
        <w:t>industry — a</w:t>
      </w:r>
      <w:proofErr w:type="gramEnd"/>
      <w:r>
        <w:t xml:space="preserve"> fast-fashion retailer like Zara turns inventory rapidly; a heavy-equipment maker like Deere does not. Compare with peers and watch trends: a rising inventory balance (especially finished goods, if the footnotes </w:t>
      </w:r>
      <w:proofErr w:type="gramStart"/>
      <w:r>
        <w:t>break it</w:t>
      </w:r>
      <w:proofErr w:type="gramEnd"/>
      <w:r>
        <w:t xml:space="preserve"> out) can signal obsolescence or a sales slowdown and foreshadow write-downs. Sometimes, though, a bigger build is a deliberate bet — stocking ahead of shortages or a product launch.</w:t>
      </w:r>
    </w:p>
    <w:p w14:paraId="18D283F5" w14:textId="77777777" w:rsidR="00BB190F" w:rsidRDefault="00C264F4">
      <w:pPr>
        <w:pStyle w:val="Heading2"/>
        <w:spacing w:before="260" w:after="120"/>
      </w:pPr>
      <w:r>
        <w:rPr>
          <w:b/>
          <w:bCs/>
          <w:color w:val="1F3864"/>
          <w:sz w:val="28"/>
          <w:szCs w:val="28"/>
        </w:rPr>
        <w:t>Working Capital Management</w:t>
      </w:r>
    </w:p>
    <w:p w14:paraId="18D283F6" w14:textId="77777777" w:rsidR="00BB190F" w:rsidRDefault="00C264F4">
      <w:pPr>
        <w:spacing w:after="120" w:line="276" w:lineRule="auto"/>
      </w:pPr>
      <w:r>
        <w:t>Working capital is the capital needed to keep the operating cycle running smoothly. Net working capital (NWC) is the operating current assets (AR, inventory) minus the operating current liabilities (AP):</w:t>
      </w:r>
    </w:p>
    <w:p w14:paraId="18D283F7" w14:textId="77777777" w:rsidR="00BB190F" w:rsidRDefault="00C264F4">
      <w:pPr>
        <w:spacing w:before="40" w:after="120"/>
        <w:jc w:val="center"/>
      </w:pPr>
      <w:r>
        <w:rPr>
          <w:b/>
          <w:bCs/>
          <w:color w:val="1F3864"/>
        </w:rPr>
        <w:t>NWC = Accounts Receivable + Inventory − Accounts Payable</w:t>
      </w:r>
    </w:p>
    <w:p w14:paraId="18D283F8" w14:textId="77777777" w:rsidR="00BB190F" w:rsidRDefault="00C264F4">
      <w:pPr>
        <w:spacing w:after="120" w:line="276" w:lineRule="auto"/>
      </w:pPr>
      <w:r>
        <w:t xml:space="preserve">It's the cash you've sunk into serving customers that you haven't yet gotten back. The cash conversion cycle </w:t>
      </w:r>
      <w:proofErr w:type="gramStart"/>
      <w:r>
        <w:t>expresses it</w:t>
      </w:r>
      <w:proofErr w:type="gramEnd"/>
      <w:r>
        <w:t xml:space="preserve"> in days — how long cash is tied up between paying suppliers and collecting from customers:</w:t>
      </w:r>
    </w:p>
    <w:p w14:paraId="18D283F9" w14:textId="77777777" w:rsidR="00BB190F" w:rsidRDefault="00C264F4">
      <w:pPr>
        <w:spacing w:before="40" w:after="120"/>
        <w:jc w:val="center"/>
      </w:pPr>
      <w:r>
        <w:rPr>
          <w:b/>
          <w:bCs/>
          <w:color w:val="1F3864"/>
        </w:rPr>
        <w:t>Cash Conversion Cycle = DSO + DIO − DPO</w:t>
      </w:r>
    </w:p>
    <w:p w14:paraId="18D283FA" w14:textId="77777777" w:rsidR="00BB190F" w:rsidRDefault="00C264F4">
      <w:pPr>
        <w:spacing w:after="120" w:line="276" w:lineRule="auto"/>
      </w:pPr>
      <w:r>
        <w:t>The difference across business models is striking. A traditional manufacturer might run DSO of 45 days + DIO of 80 − DPO of 40 = 85 days of cash tied up. The best operators push the cycle below zero: Amazon runs roughly −20 to −30 days (customers pay at checkout while suppliers are paid 60–90 days later), and Dell's build-to-order model runs about −36 days. A negative cash conversion cycle is a genuine competitive advantage — it throws off cash as the company grows, instead of consuming it.</w:t>
      </w:r>
    </w:p>
    <w:p w14:paraId="18D283FB" w14:textId="77777777" w:rsidR="00BB190F" w:rsidRDefault="00C264F4">
      <w:pPr>
        <w:spacing w:after="120" w:line="276" w:lineRule="auto"/>
      </w:pPr>
      <w:r>
        <w:t>Effective working-capital management is the optimal trade-off between liquidity (having cash available) and profit and sales growth, and it can be decisive in whether a company can fund an investment. It varies widely by industry and by a company's age and business model — young, growing firms often consume working capital, while scaled platforms can generate it.</w:t>
      </w:r>
    </w:p>
    <w:p w14:paraId="18D283FC" w14:textId="77777777" w:rsidR="00BB190F" w:rsidRDefault="00C264F4">
      <w:pPr>
        <w:spacing w:after="120" w:line="276" w:lineRule="auto"/>
      </w:pPr>
      <w:r>
        <w:t>One last practical tip: in a real 10-K, the inventory footnote often breaks the balance into raw materials, work-in-progress, and finished goods (and discloses the LIFO reserve, if any). Reading it — and watching the finished-goods trend in particular — is one of the quickest ways to spot a looming write-down in a company you follow.</w:t>
      </w:r>
    </w:p>
    <w:sectPr w:rsidR="00BB190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D1BB8"/>
    <w:multiLevelType w:val="hybridMultilevel"/>
    <w:tmpl w:val="3B3E1E04"/>
    <w:lvl w:ilvl="0" w:tplc="E02A3CF6">
      <w:start w:val="1"/>
      <w:numFmt w:val="bullet"/>
      <w:lvlText w:val="•"/>
      <w:lvlJc w:val="left"/>
      <w:pPr>
        <w:ind w:left="504" w:hanging="288"/>
      </w:pPr>
    </w:lvl>
    <w:lvl w:ilvl="1" w:tplc="33C20320">
      <w:numFmt w:val="decimal"/>
      <w:lvlText w:val=""/>
      <w:lvlJc w:val="left"/>
    </w:lvl>
    <w:lvl w:ilvl="2" w:tplc="3A764C44">
      <w:numFmt w:val="decimal"/>
      <w:lvlText w:val=""/>
      <w:lvlJc w:val="left"/>
    </w:lvl>
    <w:lvl w:ilvl="3" w:tplc="1D5E1032">
      <w:numFmt w:val="decimal"/>
      <w:lvlText w:val=""/>
      <w:lvlJc w:val="left"/>
    </w:lvl>
    <w:lvl w:ilvl="4" w:tplc="A7F4C71C">
      <w:numFmt w:val="decimal"/>
      <w:lvlText w:val=""/>
      <w:lvlJc w:val="left"/>
    </w:lvl>
    <w:lvl w:ilvl="5" w:tplc="0C22EBB0">
      <w:numFmt w:val="decimal"/>
      <w:lvlText w:val=""/>
      <w:lvlJc w:val="left"/>
    </w:lvl>
    <w:lvl w:ilvl="6" w:tplc="58BCABA8">
      <w:numFmt w:val="decimal"/>
      <w:lvlText w:val=""/>
      <w:lvlJc w:val="left"/>
    </w:lvl>
    <w:lvl w:ilvl="7" w:tplc="BA6AE5A2">
      <w:numFmt w:val="decimal"/>
      <w:lvlText w:val=""/>
      <w:lvlJc w:val="left"/>
    </w:lvl>
    <w:lvl w:ilvl="8" w:tplc="14BCD8BA">
      <w:numFmt w:val="decimal"/>
      <w:lvlText w:val=""/>
      <w:lvlJc w:val="left"/>
    </w:lvl>
  </w:abstractNum>
  <w:abstractNum w:abstractNumId="1" w15:restartNumberingAfterBreak="0">
    <w:nsid w:val="5F11568A"/>
    <w:multiLevelType w:val="hybridMultilevel"/>
    <w:tmpl w:val="45A07A88"/>
    <w:lvl w:ilvl="0" w:tplc="291A442E">
      <w:start w:val="1"/>
      <w:numFmt w:val="bullet"/>
      <w:lvlText w:val="●"/>
      <w:lvlJc w:val="left"/>
      <w:pPr>
        <w:ind w:left="720" w:hanging="360"/>
      </w:pPr>
    </w:lvl>
    <w:lvl w:ilvl="1" w:tplc="F45C12E4">
      <w:start w:val="1"/>
      <w:numFmt w:val="bullet"/>
      <w:lvlText w:val="○"/>
      <w:lvlJc w:val="left"/>
      <w:pPr>
        <w:ind w:left="1440" w:hanging="360"/>
      </w:pPr>
    </w:lvl>
    <w:lvl w:ilvl="2" w:tplc="227A0C36">
      <w:start w:val="1"/>
      <w:numFmt w:val="bullet"/>
      <w:lvlText w:val="■"/>
      <w:lvlJc w:val="left"/>
      <w:pPr>
        <w:ind w:left="2160" w:hanging="360"/>
      </w:pPr>
    </w:lvl>
    <w:lvl w:ilvl="3" w:tplc="B302CF52">
      <w:start w:val="1"/>
      <w:numFmt w:val="bullet"/>
      <w:lvlText w:val="●"/>
      <w:lvlJc w:val="left"/>
      <w:pPr>
        <w:ind w:left="2880" w:hanging="360"/>
      </w:pPr>
    </w:lvl>
    <w:lvl w:ilvl="4" w:tplc="06986E90">
      <w:start w:val="1"/>
      <w:numFmt w:val="bullet"/>
      <w:lvlText w:val="○"/>
      <w:lvlJc w:val="left"/>
      <w:pPr>
        <w:ind w:left="3600" w:hanging="360"/>
      </w:pPr>
    </w:lvl>
    <w:lvl w:ilvl="5" w:tplc="FCBC4D76">
      <w:start w:val="1"/>
      <w:numFmt w:val="bullet"/>
      <w:lvlText w:val="■"/>
      <w:lvlJc w:val="left"/>
      <w:pPr>
        <w:ind w:left="4320" w:hanging="360"/>
      </w:pPr>
    </w:lvl>
    <w:lvl w:ilvl="6" w:tplc="235A74A2">
      <w:start w:val="1"/>
      <w:numFmt w:val="bullet"/>
      <w:lvlText w:val="●"/>
      <w:lvlJc w:val="left"/>
      <w:pPr>
        <w:ind w:left="5040" w:hanging="360"/>
      </w:pPr>
    </w:lvl>
    <w:lvl w:ilvl="7" w:tplc="050AAF74">
      <w:start w:val="1"/>
      <w:numFmt w:val="bullet"/>
      <w:lvlText w:val="●"/>
      <w:lvlJc w:val="left"/>
      <w:pPr>
        <w:ind w:left="5760" w:hanging="360"/>
      </w:pPr>
    </w:lvl>
    <w:lvl w:ilvl="8" w:tplc="88E43B82">
      <w:start w:val="1"/>
      <w:numFmt w:val="bullet"/>
      <w:lvlText w:val="●"/>
      <w:lvlJc w:val="left"/>
      <w:pPr>
        <w:ind w:left="6480" w:hanging="360"/>
      </w:pPr>
    </w:lvl>
  </w:abstractNum>
  <w:num w:numId="1" w16cid:durableId="1407458069">
    <w:abstractNumId w:val="1"/>
    <w:lvlOverride w:ilvl="0">
      <w:startOverride w:val="1"/>
    </w:lvlOverride>
  </w:num>
  <w:num w:numId="2" w16cid:durableId="9122740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90F"/>
    <w:rsid w:val="007E3783"/>
    <w:rsid w:val="00BB190F"/>
    <w:rsid w:val="00C264F4"/>
    <w:rsid w:val="00FB5D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283AC"/>
  <w15:docId w15:val="{75EA4C91-CC15-4994-8E04-94F1F463A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1477</Words>
  <Characters>8420</Characters>
  <Application>Microsoft Office Word</Application>
  <DocSecurity>0</DocSecurity>
  <Lines>70</Lines>
  <Paragraphs>19</Paragraphs>
  <ScaleCrop>false</ScaleCrop>
  <Company/>
  <LinksUpToDate>false</LinksUpToDate>
  <CharactersWithSpaces>9878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Veselina Dinova</cp:lastModifiedBy>
  <cp:revision>2</cp:revision>
  <dcterms:created xsi:type="dcterms:W3CDTF">2026-08-07T22:07:00Z</dcterms:created>
  <dcterms:modified xsi:type="dcterms:W3CDTF">2026-08-08T20:10:00Z</dcterms:modified>
</cp:coreProperties>
</file>