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6E0051" w:rsidRDefault="0071478A">
      <w:pPr>
        <w:pStyle w:val="Title"/>
        <w:spacing w:after="40"/>
      </w:pPr>
      <w:r>
        <w:rPr>
          <w:b/>
          <w:bCs/>
          <w:color w:val="002676"/>
        </w:rPr>
        <w:t>Working Capital</w:t>
      </w:r>
    </w:p>
    <w:p w14:paraId="00000002" w14:textId="77777777" w:rsidR="006E0051" w:rsidRDefault="0071478A">
      <w:pPr>
        <w:spacing w:after="160"/>
      </w:pPr>
      <w:r>
        <w:rPr>
          <w:i/>
          <w:iCs/>
          <w:color w:val="002676"/>
          <w:sz w:val="26"/>
          <w:szCs w:val="26"/>
        </w:rPr>
        <w:t>Managing the Operating Cycle</w:t>
      </w:r>
    </w:p>
    <w:p w14:paraId="00000003" w14:textId="77777777" w:rsidR="006E0051" w:rsidRDefault="0071478A">
      <w:pPr>
        <w:pStyle w:val="Heading1"/>
        <w:spacing w:before="240" w:after="120"/>
      </w:pPr>
      <w:r>
        <w:rPr>
          <w:b/>
          <w:bCs/>
          <w:color w:val="002676"/>
        </w:rPr>
        <w:t>What working capital is</w:t>
      </w:r>
    </w:p>
    <w:p w14:paraId="00000004" w14:textId="77777777" w:rsidR="006E0051" w:rsidRDefault="0071478A">
      <w:pPr>
        <w:spacing w:after="120"/>
      </w:pPr>
      <w:r>
        <w:t xml:space="preserve">Working capital is the capital a company needs to fund its day-to-day operating cycle. In practice we focus on </w:t>
      </w:r>
      <w:r>
        <w:rPr>
          <w:b/>
          <w:bCs/>
        </w:rPr>
        <w:t>net operating working capital (NWC)</w:t>
      </w:r>
      <w:r>
        <w:t xml:space="preserve"> — the money tied up in a company's core operations, calculated as current operating assets (primarily Accounts Receivable and Inventory) minus current operating liabilities (primarily Accounts Payable):</w:t>
      </w:r>
    </w:p>
    <w:p w14:paraId="00000005" w14:textId="77777777" w:rsidR="006E0051" w:rsidRDefault="0071478A">
      <w:pPr>
        <w:spacing w:after="120"/>
        <w:jc w:val="center"/>
      </w:pPr>
      <w:r>
        <w:rPr>
          <w:b/>
          <w:bCs/>
          <w:i/>
          <w:iCs/>
          <w:color w:val="333333"/>
        </w:rPr>
        <w:t>Net Working Capital (NWC) = Accounts Receivable + Inventory − Accounts Payable</w:t>
      </w:r>
    </w:p>
    <w:p w14:paraId="00000006" w14:textId="77777777" w:rsidR="006E0051" w:rsidRDefault="0071478A">
      <w:pPr>
        <w:spacing w:after="120"/>
      </w:pPr>
      <w:r>
        <w:t>Analyzing working capital through ratios shows how effectively a company manages its short-term operating cycle. We've already covered the individual components:</w:t>
      </w:r>
    </w:p>
    <w:p w14:paraId="00000007" w14:textId="77777777" w:rsidR="006E0051" w:rsidRDefault="0071478A">
      <w:pPr>
        <w:numPr>
          <w:ilvl w:val="0"/>
          <w:numId w:val="1"/>
        </w:numPr>
        <w:pBdr>
          <w:top w:val="nil"/>
          <w:left w:val="nil"/>
          <w:bottom w:val="nil"/>
          <w:right w:val="nil"/>
          <w:between w:val="nil"/>
        </w:pBdr>
        <w:spacing w:after="80"/>
      </w:pPr>
      <w:r>
        <w:rPr>
          <w:b/>
          <w:bCs/>
          <w:color w:val="000000"/>
        </w:rPr>
        <w:t>Days Sales Outstanding (DSO)</w:t>
      </w:r>
      <w:r>
        <w:rPr>
          <w:color w:val="000000"/>
        </w:rPr>
        <w:t xml:space="preserve"> = Average AR / Daily Sales</w:t>
      </w:r>
    </w:p>
    <w:p w14:paraId="00000008" w14:textId="77777777" w:rsidR="006E0051" w:rsidRDefault="0071478A">
      <w:pPr>
        <w:numPr>
          <w:ilvl w:val="0"/>
          <w:numId w:val="1"/>
        </w:numPr>
        <w:pBdr>
          <w:top w:val="nil"/>
          <w:left w:val="nil"/>
          <w:bottom w:val="nil"/>
          <w:right w:val="nil"/>
          <w:between w:val="nil"/>
        </w:pBdr>
        <w:spacing w:after="80"/>
      </w:pPr>
      <w:r>
        <w:rPr>
          <w:b/>
          <w:bCs/>
          <w:color w:val="000000"/>
        </w:rPr>
        <w:t>Days Inventory Outstanding (DIO)</w:t>
      </w:r>
      <w:r>
        <w:rPr>
          <w:color w:val="000000"/>
        </w:rPr>
        <w:t xml:space="preserve"> = Average Inventory / Daily COGS</w:t>
      </w:r>
    </w:p>
    <w:p w14:paraId="00000009" w14:textId="77777777" w:rsidR="006E0051" w:rsidRDefault="0071478A">
      <w:pPr>
        <w:numPr>
          <w:ilvl w:val="0"/>
          <w:numId w:val="1"/>
        </w:numPr>
        <w:pBdr>
          <w:top w:val="nil"/>
          <w:left w:val="nil"/>
          <w:bottom w:val="nil"/>
          <w:right w:val="nil"/>
          <w:between w:val="nil"/>
        </w:pBdr>
        <w:spacing w:after="80"/>
      </w:pPr>
      <w:r>
        <w:rPr>
          <w:b/>
          <w:bCs/>
          <w:color w:val="000000"/>
        </w:rPr>
        <w:t>Days Payable Outstanding (DPO)</w:t>
      </w:r>
      <w:r>
        <w:rPr>
          <w:color w:val="000000"/>
        </w:rPr>
        <w:t xml:space="preserve"> = Average AP / Daily COGS</w:t>
      </w:r>
    </w:p>
    <w:p w14:paraId="0000000A" w14:textId="77777777" w:rsidR="006E0051" w:rsidRDefault="0071478A">
      <w:pPr>
        <w:pStyle w:val="Heading1"/>
        <w:spacing w:before="240" w:after="120"/>
      </w:pPr>
      <w:r>
        <w:rPr>
          <w:b/>
          <w:bCs/>
          <w:color w:val="002676"/>
        </w:rPr>
        <w:t>Important trade-offs in working capital management</w:t>
      </w:r>
    </w:p>
    <w:p w14:paraId="0000000B" w14:textId="77777777" w:rsidR="006E0051" w:rsidRDefault="0071478A">
      <w:pPr>
        <w:spacing w:after="120"/>
      </w:pPr>
      <w:r>
        <w:t>Managing working capital well means navigating several trade-offs:</w:t>
      </w:r>
    </w:p>
    <w:p w14:paraId="0000000C" w14:textId="77777777" w:rsidR="006E0051" w:rsidRDefault="0071478A">
      <w:pPr>
        <w:numPr>
          <w:ilvl w:val="0"/>
          <w:numId w:val="1"/>
        </w:numPr>
        <w:pBdr>
          <w:top w:val="nil"/>
          <w:left w:val="nil"/>
          <w:bottom w:val="nil"/>
          <w:right w:val="nil"/>
          <w:between w:val="nil"/>
        </w:pBdr>
        <w:spacing w:after="80"/>
      </w:pPr>
      <w:r>
        <w:rPr>
          <w:b/>
          <w:bCs/>
          <w:color w:val="000000"/>
        </w:rPr>
        <w:t xml:space="preserve">Days Sales Outstanding (DSO): </w:t>
      </w:r>
      <w:r>
        <w:rPr>
          <w:color w:val="000000"/>
        </w:rPr>
        <w:t>A lower DSO means faster cash collection, but pushing it down too aggressively can cost sales — if customers need longer payment terms, or demand steep discounts to pay early.</w:t>
      </w:r>
    </w:p>
    <w:p w14:paraId="0000000D" w14:textId="77777777" w:rsidR="006E0051" w:rsidRDefault="0071478A">
      <w:pPr>
        <w:numPr>
          <w:ilvl w:val="0"/>
          <w:numId w:val="1"/>
        </w:numPr>
        <w:pBdr>
          <w:top w:val="nil"/>
          <w:left w:val="nil"/>
          <w:bottom w:val="nil"/>
          <w:right w:val="nil"/>
          <w:between w:val="nil"/>
        </w:pBdr>
        <w:spacing w:after="80"/>
      </w:pPr>
      <w:r>
        <w:rPr>
          <w:b/>
          <w:bCs/>
          <w:color w:val="000000"/>
        </w:rPr>
        <w:t xml:space="preserve">Days Inventory Outstanding (DIO): </w:t>
      </w:r>
      <w:r>
        <w:rPr>
          <w:color w:val="000000"/>
        </w:rPr>
        <w:t xml:space="preserve">A lower DIO signals efficient inventory management and lower holding costs, but cutting inventory too far leads to stockouts, lost sales from thin assortment, and costly expedited shipping. The opposite failure is just as damaging: the post-pandemic inventory gluts at Target (which took heavy markdowns in 2022), Peloton, and Nike show how bloated DIO ties up cash and forces margin-killing discounts. And in 2025, some firms deliberately built inventory ahead of tariffs — pushing DIO up and tying up cash — a </w:t>
      </w:r>
      <w:r>
        <w:rPr>
          <w:color w:val="000000"/>
        </w:rPr>
        <w:t>reminder that “optimal” shifts with the environment.</w:t>
      </w:r>
    </w:p>
    <w:p w14:paraId="0000000E" w14:textId="77777777" w:rsidR="006E0051" w:rsidRDefault="0071478A">
      <w:pPr>
        <w:numPr>
          <w:ilvl w:val="0"/>
          <w:numId w:val="1"/>
        </w:numPr>
        <w:pBdr>
          <w:top w:val="nil"/>
          <w:left w:val="nil"/>
          <w:bottom w:val="nil"/>
          <w:right w:val="nil"/>
          <w:between w:val="nil"/>
        </w:pBdr>
        <w:spacing w:after="80"/>
      </w:pPr>
      <w:r>
        <w:rPr>
          <w:b/>
          <w:bCs/>
          <w:color w:val="000000"/>
        </w:rPr>
        <w:t xml:space="preserve">Days Payable Outstanding (DPO): </w:t>
      </w:r>
      <w:r>
        <w:rPr>
          <w:color w:val="000000"/>
        </w:rPr>
        <w:t>A higher DPO means paying suppliers more slowly and preserving cash, but stretching terms too far strains key suppliers and can lead to worse pricing or supply disruptions. Many large firms now extend DPO using supply-chain finance (reverse factoring), where a bank pays the supplier early while the buyer pays later — Coca-Cola discloses exactly such a program in its latest 10-K. It can ease the tension, though heavy reliance has drawn scrutiny as a way to quietly increase leverage.</w:t>
      </w:r>
    </w:p>
    <w:p w14:paraId="0000000F" w14:textId="77777777" w:rsidR="006E0051" w:rsidRDefault="0071478A">
      <w:pPr>
        <w:pStyle w:val="Heading1"/>
        <w:spacing w:before="240" w:after="120"/>
      </w:pPr>
      <w:r>
        <w:rPr>
          <w:b/>
          <w:bCs/>
          <w:color w:val="002676"/>
        </w:rPr>
        <w:t>Cash Conversion Cycle (CCC)</w:t>
      </w:r>
    </w:p>
    <w:p w14:paraId="00000010" w14:textId="77777777" w:rsidR="006E0051" w:rsidRDefault="0071478A">
      <w:pPr>
        <w:spacing w:after="120"/>
      </w:pPr>
      <w:r>
        <w:t xml:space="preserve">Analyzing each component is helpful, but analyzing the combined performance is even more insightful. The </w:t>
      </w:r>
      <w:r>
        <w:rPr>
          <w:b/>
          <w:bCs/>
        </w:rPr>
        <w:t>Cash Conversion Cycle (CCC)</w:t>
      </w:r>
      <w:r>
        <w:t xml:space="preserve"> is a comprehensive measure of working-capital efficiency:</w:t>
      </w:r>
    </w:p>
    <w:p w14:paraId="00000011" w14:textId="77777777" w:rsidR="006E0051" w:rsidRDefault="0071478A">
      <w:pPr>
        <w:spacing w:after="120"/>
        <w:jc w:val="center"/>
      </w:pPr>
      <w:r>
        <w:rPr>
          <w:b/>
          <w:bCs/>
          <w:i/>
          <w:iCs/>
          <w:color w:val="333333"/>
        </w:rPr>
        <w:t>Cash Conversion Cycle (CCC) = DSO + DIO − DPO</w:t>
      </w:r>
    </w:p>
    <w:p w14:paraId="00000012" w14:textId="77777777" w:rsidR="006E0051" w:rsidRDefault="0071478A">
      <w:pPr>
        <w:spacing w:after="120"/>
      </w:pPr>
      <w:r>
        <w:lastRenderedPageBreak/>
        <w:t>The CCC measures the time, in days, it takes a company to convert its investments in inventory and other resources into cash from sales. A shorter CCC generally indicates greater efficiency and less reliance on external financing.</w:t>
      </w:r>
    </w:p>
    <w:p w14:paraId="00000013" w14:textId="77777777" w:rsidR="006E0051" w:rsidRDefault="0071478A">
      <w:pPr>
        <w:spacing w:after="120"/>
      </w:pPr>
      <w:r>
        <w:t xml:space="preserve">A </w:t>
      </w:r>
      <w:r>
        <w:rPr>
          <w:b/>
          <w:bCs/>
        </w:rPr>
        <w:t>negative CCC</w:t>
      </w:r>
      <w:r>
        <w:t xml:space="preserve"> is possible, and prized: it means the company collects cash from customers before it has to pay its suppliers and for its inventory, effectively funding operations with other people's money. Apple is the classic case — minimal inventory plus long payment terms to suppliers mean it often collects from customers well before paying its bills. Amazon runs a similar negative cycle through rapid inventory turnover and relatively long supplier terms.</w:t>
      </w:r>
    </w:p>
    <w:p w14:paraId="00000014" w14:textId="77777777" w:rsidR="006E0051" w:rsidRDefault="0071478A">
      <w:pPr>
        <w:spacing w:after="120"/>
      </w:pPr>
      <w:r>
        <w:t xml:space="preserve">Because working capital is a </w:t>
      </w:r>
      <w:r>
        <w:rPr>
          <w:b/>
          <w:bCs/>
        </w:rPr>
        <w:t>use of cash</w:t>
      </w:r>
      <w:r>
        <w:t>, a long CCC ties up cash that has to be financed — which is why a profitable, fast-growing company can still run short of cash. This shows up directly in the operating section of the cash flow statement. That said, driving the CCC too low can harm sales, margins, or supplier relationships, so “optimal” is always context-dependent.</w:t>
      </w:r>
    </w:p>
    <w:p w14:paraId="00000015" w14:textId="77777777" w:rsidR="006E0051" w:rsidRDefault="0071478A">
      <w:pPr>
        <w:pStyle w:val="Heading1"/>
        <w:spacing w:before="240" w:after="120"/>
      </w:pPr>
      <w:r>
        <w:rPr>
          <w:b/>
          <w:bCs/>
          <w:color w:val="002676"/>
        </w:rPr>
        <w:t>Effective working capital management</w:t>
      </w:r>
    </w:p>
    <w:p w14:paraId="00000016" w14:textId="77777777" w:rsidR="006E0051" w:rsidRDefault="0071478A">
      <w:pPr>
        <w:numPr>
          <w:ilvl w:val="0"/>
          <w:numId w:val="1"/>
        </w:numPr>
        <w:pBdr>
          <w:top w:val="nil"/>
          <w:left w:val="nil"/>
          <w:bottom w:val="nil"/>
          <w:right w:val="nil"/>
          <w:between w:val="nil"/>
        </w:pBdr>
        <w:spacing w:after="80"/>
      </w:pPr>
      <w:r>
        <w:rPr>
          <w:b/>
          <w:bCs/>
          <w:color w:val="000000"/>
        </w:rPr>
        <w:t xml:space="preserve">Balances liquidity with sales growth and profit: </w:t>
      </w:r>
      <w:r>
        <w:rPr>
          <w:color w:val="000000"/>
        </w:rPr>
        <w:t>It's about finding the right equilibrium — enough cash to meet obligations, credit and inventory policies that support sales, and financing costs and operational inefficiencies kept low to protect profitability.</w:t>
      </w:r>
    </w:p>
    <w:p w14:paraId="00000017" w14:textId="77777777" w:rsidR="006E0051" w:rsidRDefault="0071478A">
      <w:pPr>
        <w:numPr>
          <w:ilvl w:val="0"/>
          <w:numId w:val="1"/>
        </w:numPr>
        <w:pBdr>
          <w:top w:val="nil"/>
          <w:left w:val="nil"/>
          <w:bottom w:val="nil"/>
          <w:right w:val="nil"/>
          <w:between w:val="nil"/>
        </w:pBdr>
        <w:spacing w:after="80"/>
      </w:pPr>
      <w:r>
        <w:rPr>
          <w:b/>
          <w:bCs/>
          <w:color w:val="000000"/>
        </w:rPr>
        <w:t xml:space="preserve">Impacts investment decisions: </w:t>
      </w:r>
      <w:r>
        <w:rPr>
          <w:color w:val="000000"/>
        </w:rPr>
        <w:t>The cash flows tied to working-capital accounts (changes in AR, Inventory, and AP) significantly affect the net present value (NPV) of investment projects. Faster inflows and slower outflows improve NPV — a key consideration in capital budgeting.</w:t>
      </w:r>
    </w:p>
    <w:p w14:paraId="00000018" w14:textId="77777777" w:rsidR="006E0051" w:rsidRDefault="0071478A">
      <w:pPr>
        <w:numPr>
          <w:ilvl w:val="0"/>
          <w:numId w:val="1"/>
        </w:numPr>
        <w:pBdr>
          <w:top w:val="nil"/>
          <w:left w:val="nil"/>
          <w:bottom w:val="nil"/>
          <w:right w:val="nil"/>
          <w:between w:val="nil"/>
        </w:pBdr>
        <w:spacing w:after="80"/>
      </w:pPr>
      <w:r>
        <w:rPr>
          <w:b/>
          <w:bCs/>
          <w:color w:val="000000"/>
        </w:rPr>
        <w:t xml:space="preserve">Varies widely by industry: </w:t>
      </w:r>
      <w:r>
        <w:rPr>
          <w:color w:val="000000"/>
        </w:rPr>
        <w:t>Working-capital ratios are highly industry-specific. Comparing the CCC of a social-media company (like Meta), with virtually no physical inventory, to a heavy manufacturer (like Caterpillar) would be meaningless. Likewise, a retailer selling mostly for cash (a fast-food chain) will have a very different AR balance than a business selling high-value equipment on credit. Benchmarking against competitors within the same industry is essential for meaningful analysis.</w:t>
      </w:r>
    </w:p>
    <w:p w14:paraId="00000019" w14:textId="77777777" w:rsidR="006E0051" w:rsidRDefault="0071478A">
      <w:pPr>
        <w:pStyle w:val="Heading1"/>
        <w:spacing w:before="240" w:after="120"/>
      </w:pPr>
      <w:r>
        <w:rPr>
          <w:b/>
          <w:bCs/>
          <w:color w:val="002676"/>
        </w:rPr>
        <w:t>In conclusion</w:t>
      </w:r>
    </w:p>
    <w:p w14:paraId="0000001A" w14:textId="77777777" w:rsidR="006E0051" w:rsidRDefault="0071478A">
      <w:pPr>
        <w:spacing w:after="120"/>
      </w:pPr>
      <w:r>
        <w:t>Working capital management sits at the intersection of liquidity, growth, and profitability, and it is central to a company's operational efficiency and financial health. Business professionals should understand the underlying principles, respect the differences across business models and industries, and stay open-minded and adaptable to current market conditions, risks, and opportunities.</w:t>
      </w:r>
    </w:p>
    <w:sectPr w:rsidR="006E0051">
      <w:pgSz w:w="12240" w:h="15840"/>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DC7D5D2D-A0D3-45F8-983F-6AB2DFFE8EED}"/>
    <w:embedBold r:id="rId2" w:fontKey="{8713D7E9-C885-4FD6-B6CC-0CAD945FCAF0}"/>
    <w:embedItalic r:id="rId3" w:fontKey="{A367E812-EAD0-4A80-89A1-40FDB2D7DB05}"/>
    <w:embedBoldItalic r:id="rId4" w:fontKey="{E7E5EEB2-6967-474B-A3DD-1793B3B4CB8C}"/>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Italic r:id="rId5" w:fontKey="{33AC86D6-154E-4AFE-B177-31D18E08CE3D}"/>
  </w:font>
  <w:font w:name="Cambria">
    <w:panose1 w:val="02040503050406030204"/>
    <w:charset w:val="00"/>
    <w:family w:val="roman"/>
    <w:pitch w:val="variable"/>
    <w:sig w:usb0="E00006FF" w:usb1="420024FF" w:usb2="02000000" w:usb3="00000000" w:csb0="0000019F" w:csb1="00000000"/>
    <w:embedRegular r:id="rId6" w:fontKey="{D9FA8FC8-E964-47F5-9AC4-B0BD8A992965}"/>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2670CF"/>
    <w:multiLevelType w:val="multilevel"/>
    <w:tmpl w:val="2F761E02"/>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num w:numId="1" w16cid:durableId="16213000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0051"/>
    <w:rsid w:val="006E0051"/>
    <w:rsid w:val="0071478A"/>
    <w:rsid w:val="00967C13"/>
    <w:rsid w:val="00C167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A314537C-ECE7-4F4C-B5E3-5280A045CD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759</Words>
  <Characters>4332</Characters>
  <Application>Microsoft Office Word</Application>
  <DocSecurity>0</DocSecurity>
  <Lines>36</Lines>
  <Paragraphs>10</Paragraphs>
  <ScaleCrop>false</ScaleCrop>
  <Company/>
  <LinksUpToDate>false</LinksUpToDate>
  <CharactersWithSpaces>5081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Veselina Dinova</dc:creator>
  <cp:lastModifiedBy>Veselina Dinova</cp:lastModifiedBy>
  <cp:revision>2</cp:revision>
  <dcterms:created xsi:type="dcterms:W3CDTF">2026-08-25T01:19:00Z</dcterms:created>
  <dcterms:modified xsi:type="dcterms:W3CDTF">2026-08-25T01:19:00Z</dcterms:modified>
</cp:coreProperties>
</file>