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rPr>
          <w:b/>
          <w:bCs/>
          <w:color w:val="1F3864"/>
          <w:sz w:val="34"/>
          <w:szCs w:val="34"/>
        </w:rPr>
        <w:t xml:space="preserve">Summary Notes — Long-Term Assets (Tangible and Intangible)</w:t>
      </w:r>
    </w:p>
    <w:p>
      <w:pPr>
        <w:spacing w:after="160"/>
      </w:pPr>
      <w:r>
        <w:rPr>
          <w:i/>
          <w:iCs/>
          <w:color w:val="595959"/>
          <w:sz w:val="22"/>
          <w:szCs w:val="22"/>
        </w:rPr>
        <w:t xml:space="preserve">Topic: Fixed Assets — PP&amp;E, Depreciation, Intangibles, and Goodwill</w:t>
      </w:r>
    </w:p>
    <w:p>
      <w:pPr>
        <w:pStyle w:val="Heading2"/>
        <w:spacing w:after="120" w:before="260"/>
      </w:pPr>
      <w:r>
        <w:rPr>
          <w:b/>
          <w:bCs/>
          <w:color w:val="1F3864"/>
          <w:sz w:val="28"/>
          <w:szCs w:val="28"/>
        </w:rPr>
        <w:t xml:space="preserve">Introduction: Laying the Foundation for Future Growth</w:t>
      </w:r>
    </w:p>
    <w:p>
      <w:pPr>
        <w:spacing w:after="120" w:line="276"/>
      </w:pPr>
      <w:r>
        <w:rPr>
          <w:sz w:val="22"/>
          <w:szCs w:val="22"/>
        </w:rPr>
        <w:t xml:space="preserve">Assets are the economic resources a company uses to generate future benefit. Long-term assets are those not expected to convert to cash within 12 months — a company's longer-term investments. They can be monetary (long-term bonds or stocks held over a year) or non-monetary (property, plant, and equipment), and tangible (machinery, buildings, data centers) or intangible (patents, content, goodwill). This module focuses on non-monetary long-term assets, tangible and intangible, which are often central to operating capacity and competitive advantage.</w:t>
      </w:r>
    </w:p>
    <w:p>
      <w:pPr>
        <w:spacing w:after="120" w:line="276"/>
      </w:pPr>
      <w:r>
        <w:rPr>
          <w:sz w:val="22"/>
          <w:szCs w:val="22"/>
        </w:rPr>
        <w:t xml:space="preserve">Investing in fixed assets is strategic. Too much capacity ties up capital and adds maintenance and underutilization costs; too little causes stockouts, lost sales, and bottlenecks. Finding the balance is a constant challenge, and it varies by industry, business model, and maturity. The 2023–2025 data-center and compute build-out by the hyperscalers (Microsoft, Amazon, Google) is a live, high-stakes version of this question: they are pouring hundreds of billions into AI capacity without knowing whether it will prove too little or too much, and as of 2025 the verdict is still out. It is a vivid reminder that the fixed-asset decision is a bet on an uncertain future, not a mechanical calculation.</w:t>
      </w:r>
    </w:p>
    <w:p>
      <w:pPr>
        <w:pStyle w:val="Heading3"/>
        <w:spacing w:after="80" w:before="180"/>
      </w:pPr>
      <w:r>
        <w:rPr>
          <w:b/>
          <w:bCs/>
          <w:color w:val="1F3864"/>
          <w:sz w:val="24"/>
          <w:szCs w:val="24"/>
        </w:rPr>
        <w:t xml:space="preserve">The optimal level of fixed assets varies by industry</w:t>
      </w:r>
    </w:p>
    <w:p>
      <w:pPr>
        <w:pStyle w:val="ListParagraph"/>
        <w:numPr>
          <w:ilvl w:val="0"/>
          <w:numId w:val="2"/>
        </w:numPr>
        <w:spacing w:after="80" w:line="276"/>
      </w:pPr>
      <w:r>
        <w:rPr>
          <w:b/>
          <w:bCs/>
          <w:sz w:val="22"/>
          <w:szCs w:val="22"/>
        </w:rPr>
        <w:t xml:space="preserve">Manufacturing (Tesla): </w:t>
      </w:r>
      <w:r>
        <w:rPr>
          <w:sz w:val="22"/>
          <w:szCs w:val="22"/>
        </w:rPr>
        <w:t xml:space="preserve">heavy investment in factories, machinery, equipment. But model choices differ — Apple designs products yet outsources production to partners like Foxconn, so it carries far less PP&amp;E than a fully integrated maker like Tesla.</w:t>
      </w:r>
    </w:p>
    <w:p>
      <w:pPr>
        <w:pStyle w:val="ListParagraph"/>
        <w:numPr>
          <w:ilvl w:val="0"/>
          <w:numId w:val="2"/>
        </w:numPr>
        <w:spacing w:after="80" w:line="276"/>
      </w:pPr>
      <w:r>
        <w:rPr>
          <w:b/>
          <w:bCs/>
          <w:sz w:val="22"/>
          <w:szCs w:val="22"/>
        </w:rPr>
        <w:t xml:space="preserve">Transportation (United, Delta, FedEx, UPS): </w:t>
      </w:r>
      <w:r>
        <w:rPr>
          <w:sz w:val="22"/>
          <w:szCs w:val="22"/>
        </w:rPr>
        <w:t xml:space="preserve">large balances of aircraft, ships, vehicles, and ground facilities.</w:t>
      </w:r>
    </w:p>
    <w:p>
      <w:pPr>
        <w:pStyle w:val="ListParagraph"/>
        <w:numPr>
          <w:ilvl w:val="0"/>
          <w:numId w:val="2"/>
        </w:numPr>
        <w:spacing w:after="80" w:line="276"/>
      </w:pPr>
      <w:r>
        <w:rPr>
          <w:b/>
          <w:bCs/>
          <w:sz w:val="22"/>
          <w:szCs w:val="22"/>
        </w:rPr>
        <w:t xml:space="preserve">Asset-light businesses (software, consulting, banking; Hilton): </w:t>
      </w:r>
      <w:r>
        <w:rPr>
          <w:sz w:val="22"/>
          <w:szCs w:val="22"/>
        </w:rPr>
        <w:t xml:space="preserve">invest mainly in people and intangibles; many hospitality firms like Hilton don't own the properties they manage.</w:t>
      </w:r>
    </w:p>
    <w:p>
      <w:pPr>
        <w:pStyle w:val="ListParagraph"/>
        <w:numPr>
          <w:ilvl w:val="0"/>
          <w:numId w:val="2"/>
        </w:numPr>
        <w:spacing w:after="80" w:line="276"/>
      </w:pPr>
      <w:r>
        <w:rPr>
          <w:b/>
          <w:bCs/>
          <w:sz w:val="22"/>
          <w:szCs w:val="22"/>
        </w:rPr>
        <w:t xml:space="preserve">Content companies (Netflix): </w:t>
      </w:r>
      <w:r>
        <w:rPr>
          <w:sz w:val="22"/>
          <w:szCs w:val="22"/>
        </w:rPr>
        <w:t xml:space="preserve">large content (intangible) investment, but relatively modest traditional PP&amp;E.</w:t>
      </w:r>
    </w:p>
    <w:p>
      <w:pPr>
        <w:pStyle w:val="ListParagraph"/>
        <w:numPr>
          <w:ilvl w:val="0"/>
          <w:numId w:val="2"/>
        </w:numPr>
        <w:spacing w:after="80" w:line="276"/>
      </w:pPr>
      <w:r>
        <w:rPr>
          <w:b/>
          <w:bCs/>
          <w:sz w:val="22"/>
          <w:szCs w:val="22"/>
        </w:rPr>
        <w:t xml:space="preserve">Pharmaceuticals (Pfizer, Merck): </w:t>
      </w:r>
      <w:r>
        <w:rPr>
          <w:sz w:val="22"/>
          <w:szCs w:val="22"/>
        </w:rPr>
        <w:t xml:space="preserve">heavy R&amp;D, but the intangible assets on the balance sheet come mostly from acquisitions — and these firms are active acquirers, so intangibles are often substantial.</w:t>
      </w:r>
    </w:p>
    <w:p>
      <w:pPr>
        <w:pStyle w:val="ListParagraph"/>
        <w:numPr>
          <w:ilvl w:val="0"/>
          <w:numId w:val="2"/>
        </w:numPr>
        <w:spacing w:after="80" w:line="276"/>
      </w:pPr>
      <w:r>
        <w:rPr>
          <w:b/>
          <w:bCs/>
          <w:sz w:val="22"/>
          <w:szCs w:val="22"/>
        </w:rPr>
        <w:t xml:space="preserve">Technology: </w:t>
      </w:r>
      <w:r>
        <w:rPr>
          <w:sz w:val="22"/>
          <w:szCs w:val="22"/>
        </w:rPr>
        <w:t xml:space="preserve">invests heavily in software and platforms that are the essence of the business, yet these rarely appear as assets unless acquired.</w:t>
      </w:r>
    </w:p>
    <w:p>
      <w:pPr>
        <w:pStyle w:val="Heading2"/>
        <w:spacing w:after="120" w:before="260"/>
      </w:pPr>
      <w:r>
        <w:rPr>
          <w:b/>
          <w:bCs/>
          <w:color w:val="1F3864"/>
          <w:sz w:val="28"/>
          <w:szCs w:val="28"/>
        </w:rPr>
        <w:t xml:space="preserve">Long-Term Tangible Assets: Accounting Fundamentals</w:t>
      </w:r>
    </w:p>
    <w:p>
      <w:pPr>
        <w:pStyle w:val="Heading3"/>
        <w:spacing w:after="80" w:before="180"/>
      </w:pPr>
      <w:r>
        <w:rPr>
          <w:b/>
          <w:bCs/>
          <w:color w:val="1F3864"/>
          <w:sz w:val="24"/>
          <w:szCs w:val="24"/>
        </w:rPr>
        <w:t xml:space="preserve">Acquisition cost: the starting point</w:t>
      </w:r>
    </w:p>
    <w:p>
      <w:pPr>
        <w:spacing w:after="120" w:line="276"/>
      </w:pPr>
      <w:r>
        <w:rPr>
          <w:sz w:val="22"/>
          <w:szCs w:val="22"/>
        </w:rPr>
        <w:t xml:space="preserve">PP&amp;E is initially recorded at acquisition cost, whether bought for cash, exchanged, financed with equity, or financed with debt. There's no income-statement impact at acquisition — the benefit is realized over the asset's useful life.</w:t>
      </w:r>
    </w:p>
    <w:p>
      <w:pPr>
        <w:pStyle w:val="ListParagraph"/>
        <w:numPr>
          <w:ilvl w:val="0"/>
          <w:numId w:val="2"/>
        </w:numPr>
        <w:spacing w:after="80" w:line="276"/>
      </w:pPr>
      <w:r>
        <w:rPr>
          <w:b/>
          <w:bCs/>
          <w:sz w:val="22"/>
          <w:szCs w:val="22"/>
        </w:rPr>
        <w:t xml:space="preserve">Purchased assets: </w:t>
      </w:r>
      <w:r>
        <w:rPr>
          <w:sz w:val="22"/>
          <w:szCs w:val="22"/>
        </w:rPr>
        <w:t xml:space="preserve">cost = purchase price plus everything needed to bring the asset into use — transportation, installation, testing, training. Toyota's new welding robot includes shipping, install, and operator training in its cost.</w:t>
      </w:r>
    </w:p>
    <w:p>
      <w:pPr>
        <w:pStyle w:val="ListParagraph"/>
        <w:numPr>
          <w:ilvl w:val="0"/>
          <w:numId w:val="2"/>
        </w:numPr>
        <w:spacing w:after="80" w:line="276"/>
      </w:pPr>
      <w:r>
        <w:rPr>
          <w:b/>
          <w:bCs/>
          <w:sz w:val="22"/>
          <w:szCs w:val="22"/>
        </w:rPr>
        <w:t xml:space="preserve">Internally constructed assets: </w:t>
      </w:r>
      <w:r>
        <w:rPr>
          <w:sz w:val="22"/>
          <w:szCs w:val="22"/>
        </w:rPr>
        <w:t xml:space="preserve">include direct materials, direct labor, and applicable overhead during construction (Amazon building a fulfillment center).</w:t>
      </w:r>
    </w:p>
    <w:p>
      <w:pPr>
        <w:pStyle w:val="ListParagraph"/>
        <w:numPr>
          <w:ilvl w:val="0"/>
          <w:numId w:val="2"/>
        </w:numPr>
        <w:spacing w:after="80" w:line="276"/>
      </w:pPr>
      <w:r>
        <w:rPr>
          <w:b/>
          <w:bCs/>
          <w:sz w:val="22"/>
          <w:szCs w:val="22"/>
        </w:rPr>
        <w:t xml:space="preserve">Capitalized improvements: </w:t>
      </w:r>
      <w:r>
        <w:rPr>
          <w:sz w:val="22"/>
          <w:szCs w:val="22"/>
        </w:rPr>
        <w:t xml:space="preserve">spending that extends life or improves capacity/efficiency is added to the asset's cost (United upgrading aircraft engines for fuel efficiency).</w:t>
      </w:r>
    </w:p>
    <w:p>
      <w:pPr>
        <w:pStyle w:val="ListParagraph"/>
        <w:numPr>
          <w:ilvl w:val="0"/>
          <w:numId w:val="2"/>
        </w:numPr>
        <w:spacing w:after="80" w:line="276"/>
      </w:pPr>
      <w:r>
        <w:rPr>
          <w:b/>
          <w:bCs/>
          <w:sz w:val="22"/>
          <w:szCs w:val="22"/>
        </w:rPr>
        <w:t xml:space="preserve">Expensed repairs and maintenance: </w:t>
      </w:r>
      <w:r>
        <w:rPr>
          <w:sz w:val="22"/>
          <w:szCs w:val="22"/>
        </w:rPr>
        <w:t xml:space="preserve">routine upkeep that keeps an asset in normal condition is expensed immediately.</w:t>
      </w:r>
    </w:p>
    <w:p>
      <w:pPr>
        <w:spacing w:after="120" w:line="276"/>
      </w:pPr>
      <w:r>
        <w:rPr>
          <w:sz w:val="22"/>
          <w:szCs w:val="22"/>
        </w:rPr>
        <w:t xml:space="preserve">The improvement-vs-maintenance line can be blurry, which is where judgment — and earnings management — enters. Misclassifying a major repair as an improvement overstates current profit (no immediate expense) but understates future profit (higher ongoing depreciation) and overstates the asset balance.</w:t>
      </w:r>
    </w:p>
    <w:p>
      <w:pPr>
        <w:spacing w:after="120" w:line="276"/>
      </w:pPr>
      <w:r>
        <w:rPr>
          <w:sz w:val="22"/>
          <w:szCs w:val="22"/>
        </w:rPr>
        <w:t xml:space="preserve">A useful contrast shows how much the capitalize-or-expense choice shapes reported results. A factory is capitalized and then depreciated slowly over its life, so its cost is spread across the many years of revenue it helps generate. Research and development, by contrast, is expensed immediately under US GAAP — even though it can build an enormously valuable asset. Moderna is a vivid recent example. For years it was a pre-revenue biotech that poured money into R&amp;D and reported net losses (a net loss of roughly $0.7 billion in 2020, for instance). Because that R&amp;D was expensed as incurred, the spending hit the income statement right away, and no vaccine "asset" was ever recorded on the balance sheet. Then, once its COVID-19 vaccine reached the market, revenue leapt to roughly $18 billion in 2021 with net income of about $12 billion. The costs of creating the product and the revenue it generated landed in completely different periods, and the company's single most valuable asset — the vaccine and the mRNA platform behind it — never appeared on its balance sheet. The takeaway: whether a cost is expensed now or capitalized and spread over time dramatically changes the profit profile, and for internally developed intangibles the rule (expense immediately) means a company can look unprofitable precisely while it is building its most valuable asset.</w:t>
      </w:r>
    </w:p>
    <w:p>
      <w:pPr>
        <w:spacing w:after="120" w:line="276"/>
      </w:pPr>
      <w:r>
        <w:rPr>
          <w:b/>
          <w:bCs/>
          <w:sz w:val="22"/>
          <w:szCs w:val="22"/>
        </w:rPr>
        <w:t xml:space="preserve">Quick test — capitalize or expense? </w:t>
      </w:r>
      <w:r>
        <w:rPr>
          <w:sz w:val="22"/>
          <w:szCs w:val="22"/>
        </w:rPr>
        <w:t xml:space="preserve">A new aircraft engine that extends a plane's useful life: capitalize. A routine oil change or a repaint: expense. A ground-up new fulfillment center: capitalize, then depreciate over its life. Ordinary repairs that keep equipment running: expense.</w:t>
      </w:r>
    </w:p>
    <w:p>
      <w:pPr>
        <w:pStyle w:val="Heading2"/>
        <w:spacing w:after="120" w:before="260"/>
      </w:pPr>
      <w:r>
        <w:rPr>
          <w:b/>
          <w:bCs/>
          <w:color w:val="1F3864"/>
          <w:sz w:val="28"/>
          <w:szCs w:val="28"/>
        </w:rPr>
        <w:t xml:space="preserve">Depreciation: Allocating Cost Over Time</w:t>
      </w:r>
    </w:p>
    <w:p>
      <w:pPr>
        <w:spacing w:after="120" w:line="276"/>
      </w:pPr>
      <w:r>
        <w:rPr>
          <w:sz w:val="22"/>
          <w:szCs w:val="22"/>
        </w:rPr>
        <w:t xml:space="preserve">As an asset is used, its value declines through wear, obsolescence, or time. To match cost with the revenue it helps generate, part of the cost is expensed each period as depreciation expense. The running total sits in accumulated depreciation — a contra-asset that reduces the reported asset. So PP&amp;E appears on the balance sheet at net book value = acquisition cost − accumulated depreciation.</w:t>
      </w:r>
    </w:p>
    <w:p>
      <w:pPr>
        <w:pStyle w:val="Heading3"/>
        <w:spacing w:after="80" w:before="180"/>
      </w:pPr>
      <w:r>
        <w:rPr>
          <w:b/>
          <w:bCs/>
          <w:color w:val="1F3864"/>
          <w:sz w:val="24"/>
          <w:szCs w:val="24"/>
        </w:rPr>
        <w:t xml:space="preserve">Estimates and methods</w:t>
      </w:r>
    </w:p>
    <w:p>
      <w:pPr>
        <w:pStyle w:val="ListParagraph"/>
        <w:numPr>
          <w:ilvl w:val="0"/>
          <w:numId w:val="2"/>
        </w:numPr>
        <w:spacing w:after="80" w:line="276"/>
      </w:pPr>
      <w:r>
        <w:rPr>
          <w:b/>
          <w:bCs/>
          <w:sz w:val="22"/>
          <w:szCs w:val="22"/>
        </w:rPr>
        <w:t xml:space="preserve">Economic (useful) life: </w:t>
      </w:r>
      <w:r>
        <w:rPr>
          <w:sz w:val="22"/>
          <w:szCs w:val="22"/>
        </w:rPr>
        <w:t xml:space="preserve">management's estimate of how long the asset will provide benefit — it can differ from physical life (an airline may use 25 years for an aircraft that could last longer).</w:t>
      </w:r>
    </w:p>
    <w:p>
      <w:pPr>
        <w:pStyle w:val="ListParagraph"/>
        <w:numPr>
          <w:ilvl w:val="0"/>
          <w:numId w:val="2"/>
        </w:numPr>
        <w:spacing w:after="80" w:line="276"/>
      </w:pPr>
      <w:r>
        <w:rPr>
          <w:b/>
          <w:bCs/>
          <w:sz w:val="22"/>
          <w:szCs w:val="22"/>
        </w:rPr>
        <w:t xml:space="preserve">Residual (salvage) value: </w:t>
      </w:r>
      <w:r>
        <w:rPr>
          <w:sz w:val="22"/>
          <w:szCs w:val="22"/>
        </w:rPr>
        <w:t xml:space="preserve">the estimated disposal proceeds at the end of useful life; can be zero.</w:t>
      </w:r>
    </w:p>
    <w:p>
      <w:pPr>
        <w:pStyle w:val="ListParagraph"/>
        <w:numPr>
          <w:ilvl w:val="0"/>
          <w:numId w:val="2"/>
        </w:numPr>
        <w:spacing w:after="80" w:line="276"/>
      </w:pPr>
      <w:r>
        <w:rPr>
          <w:b/>
          <w:bCs/>
          <w:sz w:val="22"/>
          <w:szCs w:val="22"/>
        </w:rPr>
        <w:t xml:space="preserve">Depreciation method: </w:t>
      </w:r>
      <w:r>
        <w:rPr>
          <w:sz w:val="22"/>
          <w:szCs w:val="22"/>
        </w:rPr>
        <w:t xml:space="preserve">the systematic way to allocate the depreciable cost (acquisition cost − residual value) over the useful life.</w:t>
      </w:r>
    </w:p>
    <w:p>
      <w:pPr>
        <w:spacing w:after="120" w:line="276"/>
      </w:pPr>
      <w:r>
        <w:rPr>
          <w:sz w:val="22"/>
          <w:szCs w:val="22"/>
        </w:rPr>
        <w:t xml:space="preserve">Useful life is only an estimate — and changing it moves earnings directly. In 2022–2024, Microsoft, Alphabet, and Meta EXTENDED the assumed life of servers and networking gear (roughly 4 to 6 years), which lowered depreciation and lifted profit — by about $3.7B of operating income at Microsoft (FY2023), roughly $3.9B less depreciation at Alphabet (2023), and about $2.9B at Meta (2025). Amazon moved the OTHER way, shortening some server life from 6 to 5 years as AI hardware wears out faster, cutting operating income by about $700M. Same assets, opposite estimate changes, billions of dollars of earnings impact — which is exactly why you should read the depreciation assumptions in the footnotes.</w:t>
      </w:r>
    </w:p>
    <w:p>
      <w:pPr>
        <w:pStyle w:val="Heading3"/>
        <w:spacing w:after="80" w:before="180"/>
      </w:pPr>
      <w:r>
        <w:rPr>
          <w:b/>
          <w:bCs/>
          <w:color w:val="1F3864"/>
          <w:sz w:val="24"/>
          <w:szCs w:val="24"/>
        </w:rPr>
        <w:t xml:space="preserve">The three methods</w:t>
      </w:r>
    </w:p>
    <w:p>
      <w:pPr>
        <w:spacing w:after="120" w:line="276"/>
      </w:pPr>
      <w:r>
        <w:rPr>
          <w:b/>
          <w:bCs/>
          <w:sz w:val="22"/>
          <w:szCs w:val="22"/>
        </w:rPr>
        <w:t xml:space="preserve">Straight-line: </w:t>
      </w:r>
      <w:r>
        <w:rPr>
          <w:sz w:val="22"/>
          <w:szCs w:val="22"/>
        </w:rPr>
        <w:t xml:space="preserve">equal expense each year — the simplest and most common.</w:t>
      </w:r>
    </w:p>
    <w:p>
      <w:pPr>
        <w:spacing w:after="120" w:before="40"/>
        <w:jc w:val="center"/>
      </w:pPr>
      <w:r>
        <w:rPr>
          <w:b/>
          <w:bCs/>
          <w:color w:val="1F3864"/>
          <w:sz w:val="22"/>
          <w:szCs w:val="22"/>
        </w:rPr>
        <w:t xml:space="preserve">Depreciation = (Acquisition Cost − Residual Value) / Useful Life</w:t>
      </w:r>
    </w:p>
    <w:p>
      <w:pPr>
        <w:spacing w:after="120" w:line="276"/>
      </w:pPr>
      <w:r>
        <w:rPr>
          <w:sz w:val="22"/>
          <w:szCs w:val="22"/>
        </w:rPr>
        <w:t xml:space="preserve">Equipment costing $100,000 with $10,000 residual and a 5-year life: ($100,000 − $10,000) / 5 = $18,000/year.</w:t>
      </w:r>
    </w:p>
    <w:p>
      <w:pPr>
        <w:spacing w:after="120" w:line="276"/>
      </w:pPr>
      <w:r>
        <w:rPr>
          <w:b/>
          <w:bCs/>
          <w:sz w:val="22"/>
          <w:szCs w:val="22"/>
        </w:rPr>
        <w:t xml:space="preserve">Double-declining balance (accelerated): </w:t>
      </w:r>
      <w:r>
        <w:rPr>
          <w:sz w:val="22"/>
          <w:szCs w:val="22"/>
        </w:rPr>
        <w:t xml:space="preserve">higher expense early, lower later — reflecting that assets are often most productive early.</w:t>
      </w:r>
    </w:p>
    <w:p>
      <w:pPr>
        <w:spacing w:after="120" w:before="40"/>
        <w:jc w:val="center"/>
      </w:pPr>
      <w:r>
        <w:rPr>
          <w:b/>
          <w:bCs/>
          <w:color w:val="1F3864"/>
          <w:sz w:val="22"/>
          <w:szCs w:val="22"/>
        </w:rPr>
        <w:t xml:space="preserve">Depreciation = Net Book Value × (2 / Useful Life)</w:t>
      </w:r>
    </w:p>
    <w:p>
      <w:pPr>
        <w:spacing w:after="120" w:line="276"/>
      </w:pPr>
      <w:r>
        <w:rPr>
          <w:sz w:val="22"/>
          <w:szCs w:val="22"/>
        </w:rPr>
        <w:t xml:space="preserve">Same asset: year 1 = $100,000 × (2/5) = $40,000; year 2 = ($100,000 − $40,000) × (2/5) = $24,000; and so on, never below residual value. Over the full five years both methods record the same total depreciation ($90,000 here); they differ only in timing — the accelerated method front-loads the expense.</w:t>
      </w:r>
    </w:p>
    <w:p>
      <w:pPr>
        <w:spacing w:after="120" w:line="276"/>
      </w:pPr>
      <w:r>
        <w:rPr>
          <w:b/>
          <w:bCs/>
          <w:sz w:val="22"/>
          <w:szCs w:val="22"/>
        </w:rPr>
        <w:t xml:space="preserve">Units of production: </w:t>
      </w:r>
      <w:r>
        <w:rPr>
          <w:sz w:val="22"/>
          <w:szCs w:val="22"/>
        </w:rPr>
        <w:t xml:space="preserve">expense tracks actual output or use, not time — suited to assets measured in units, machine hours, or miles.</w:t>
      </w:r>
    </w:p>
    <w:p>
      <w:pPr>
        <w:spacing w:after="120" w:before="40"/>
        <w:jc w:val="center"/>
      </w:pPr>
      <w:r>
        <w:rPr>
          <w:b/>
          <w:bCs/>
          <w:color w:val="1F3864"/>
          <w:sz w:val="22"/>
          <w:szCs w:val="22"/>
        </w:rPr>
        <w:t xml:space="preserve">Depreciation = ((Cost − Residual) / Total Estimated Units) × Units This Period</w:t>
      </w:r>
    </w:p>
    <w:p>
      <w:pPr>
        <w:spacing w:after="120" w:line="276"/>
      </w:pPr>
      <w:r>
        <w:rPr>
          <w:sz w:val="22"/>
          <w:szCs w:val="22"/>
        </w:rPr>
        <w:t xml:space="preserve">A trucking firm (Schneider) depreciating a truck expected to run 500,000 miles recognizes 10% of the depreciable cost in a 50,000-mile year.</w:t>
      </w:r>
    </w:p>
    <w:p>
      <w:pPr>
        <w:pStyle w:val="Heading3"/>
        <w:spacing w:after="80" w:before="180"/>
      </w:pPr>
      <w:r>
        <w:rPr>
          <w:b/>
          <w:bCs/>
          <w:color w:val="1F3864"/>
          <w:sz w:val="24"/>
          <w:szCs w:val="24"/>
        </w:rPr>
        <w:t xml:space="preserve">Implications of the method choice</w:t>
      </w:r>
    </w:p>
    <w:p>
      <w:pPr>
        <w:pStyle w:val="ListParagraph"/>
        <w:numPr>
          <w:ilvl w:val="0"/>
          <w:numId w:val="2"/>
        </w:numPr>
        <w:spacing w:after="80" w:line="276"/>
      </w:pPr>
      <w:r>
        <w:rPr>
          <w:sz w:val="22"/>
          <w:szCs w:val="22"/>
        </w:rPr>
        <w:t xml:space="preserve">Income statement: straight-line gives stable expense and income; accelerated depresses early income and lifts later income.</w:t>
      </w:r>
    </w:p>
    <w:p>
      <w:pPr>
        <w:pStyle w:val="ListParagraph"/>
        <w:numPr>
          <w:ilvl w:val="0"/>
          <w:numId w:val="2"/>
        </w:numPr>
        <w:spacing w:after="80" w:line="276"/>
      </w:pPr>
      <w:r>
        <w:rPr>
          <w:sz w:val="22"/>
          <w:szCs w:val="22"/>
        </w:rPr>
        <w:t xml:space="preserve">Balance sheet: net book value is higher early under straight-line (slower depreciation).</w:t>
      </w:r>
    </w:p>
    <w:p>
      <w:pPr>
        <w:pStyle w:val="ListParagraph"/>
        <w:numPr>
          <w:ilvl w:val="0"/>
          <w:numId w:val="2"/>
        </w:numPr>
        <w:spacing w:after="80" w:line="276"/>
      </w:pPr>
      <w:r>
        <w:rPr>
          <w:sz w:val="22"/>
          <w:szCs w:val="22"/>
        </w:rPr>
        <w:t xml:space="preserve">Cash flow: accelerated methods defer taxes, helping early-year cash flow.</w:t>
      </w:r>
    </w:p>
    <w:p>
      <w:pPr>
        <w:pStyle w:val="ListParagraph"/>
        <w:numPr>
          <w:ilvl w:val="0"/>
          <w:numId w:val="2"/>
        </w:numPr>
        <w:spacing w:after="80" w:line="276"/>
      </w:pPr>
      <w:r>
        <w:rPr>
          <w:sz w:val="22"/>
          <w:szCs w:val="22"/>
        </w:rPr>
        <w:t xml:space="preserve">Reporting vs. tax: many firms use straight-line for reporting (smooth earnings) and an accelerated method for tax (bigger early deductions); tax policy may add extra incentives for targeted investment.</w:t>
      </w:r>
    </w:p>
    <w:p>
      <w:pPr>
        <w:spacing w:after="120" w:line="276"/>
      </w:pPr>
      <w:r>
        <w:rPr>
          <w:b/>
          <w:bCs/>
          <w:sz w:val="22"/>
          <w:szCs w:val="22"/>
        </w:rPr>
        <w:t xml:space="preserve">Discretion and comparability: </w:t>
      </w:r>
      <w:r>
        <w:rPr>
          <w:sz w:val="22"/>
          <w:szCs w:val="22"/>
        </w:rPr>
        <w:t xml:space="preserve">useful life, residual value, and method are all judgment calls, so two competitors (Southwest vs. JetBlue) with different aircraft-life estimates report different depreciation and income. Read the footnote assumptions and adjust when comparing.</w:t>
      </w:r>
    </w:p>
    <w:p>
      <w:pPr>
        <w:pStyle w:val="Heading2"/>
        <w:spacing w:after="120" w:before="260"/>
      </w:pPr>
      <w:r>
        <w:rPr>
          <w:b/>
          <w:bCs/>
          <w:color w:val="1F3864"/>
          <w:sz w:val="28"/>
          <w:szCs w:val="28"/>
        </w:rPr>
        <w:t xml:space="preserve">Asset Sales: Gains and Losses</w:t>
      </w:r>
    </w:p>
    <w:p>
      <w:pPr>
        <w:spacing w:after="120" w:line="276"/>
      </w:pPr>
      <w:r>
        <w:rPr>
          <w:sz w:val="22"/>
          <w:szCs w:val="22"/>
        </w:rPr>
        <w:t xml:space="preserve">Selling a long-term asset produces a gain or loss = proceeds − net book value, recognized on the income statement and taxable.</w:t>
      </w:r>
    </w:p>
    <w:p>
      <w:pPr>
        <w:pStyle w:val="ListParagraph"/>
        <w:numPr>
          <w:ilvl w:val="0"/>
          <w:numId w:val="2"/>
        </w:numPr>
        <w:spacing w:after="80" w:line="276"/>
      </w:pPr>
      <w:r>
        <w:rPr>
          <w:b/>
          <w:bCs/>
          <w:sz w:val="22"/>
          <w:szCs w:val="22"/>
        </w:rPr>
        <w:t xml:space="preserve">Gain on sale: </w:t>
      </w:r>
      <w:r>
        <w:rPr>
          <w:sz w:val="22"/>
          <w:szCs w:val="22"/>
        </w:rPr>
        <w:t xml:space="preserve">proceeds above net book value — taxed (a $20,000 net-book-value machine sold for $25,000 gives a $5,000 gain; at 21%, ~$1,050 tax).</w:t>
      </w:r>
    </w:p>
    <w:p>
      <w:pPr>
        <w:pStyle w:val="ListParagraph"/>
        <w:numPr>
          <w:ilvl w:val="0"/>
          <w:numId w:val="2"/>
        </w:numPr>
        <w:spacing w:after="80" w:line="276"/>
      </w:pPr>
      <w:r>
        <w:rPr>
          <w:b/>
          <w:bCs/>
          <w:sz w:val="22"/>
          <w:szCs w:val="22"/>
        </w:rPr>
        <w:t xml:space="preserve">Loss on sale: </w:t>
      </w:r>
      <w:r>
        <w:rPr>
          <w:sz w:val="22"/>
          <w:szCs w:val="22"/>
        </w:rPr>
        <w:t xml:space="preserve">proceeds below net book value — can offset other taxable profit (the same machine sold for $15,000 gives a $5,000 loss and a ~$1,050 tax benefit).</w:t>
      </w:r>
    </w:p>
    <w:p>
      <w:pPr>
        <w:spacing w:after="120" w:line="276"/>
      </w:pPr>
      <w:r>
        <w:rPr>
          <w:sz w:val="22"/>
          <w:szCs w:val="22"/>
        </w:rPr>
        <w:t xml:space="preserve">The gain or loss depends directly on prior accounting choices — depreciation method, useful life, and residual value — that set the net book value.</w:t>
      </w:r>
    </w:p>
    <w:p>
      <w:pPr>
        <w:pStyle w:val="Heading2"/>
        <w:spacing w:after="120" w:before="260"/>
      </w:pPr>
      <w:r>
        <w:rPr>
          <w:b/>
          <w:bCs/>
          <w:color w:val="1F3864"/>
          <w:sz w:val="28"/>
          <w:szCs w:val="28"/>
        </w:rPr>
        <w:t xml:space="preserve">Asset Impairments: Recognizing Unexpected Value Declines</w:t>
      </w:r>
    </w:p>
    <w:p>
      <w:pPr>
        <w:spacing w:after="120" w:line="276"/>
      </w:pPr>
      <w:r>
        <w:rPr>
          <w:sz w:val="22"/>
          <w:szCs w:val="22"/>
        </w:rPr>
        <w:t xml:space="preserve">Companies must periodically review long-lived assets (tangible and certain intangibles) for impairment. When net book value is not recoverable, the asset is written down to fair value and an impairment charge is expensed, reducing net book value. The assessment takes judgment — another earnings-management opening:</w:t>
      </w:r>
    </w:p>
    <w:p>
      <w:pPr>
        <w:pStyle w:val="ListParagraph"/>
        <w:numPr>
          <w:ilvl w:val="0"/>
          <w:numId w:val="2"/>
        </w:numPr>
        <w:spacing w:after="80" w:line="276"/>
      </w:pPr>
      <w:r>
        <w:rPr>
          <w:sz w:val="22"/>
          <w:szCs w:val="22"/>
        </w:rPr>
        <w:t xml:space="preserve">Insufficient write-downs: delaying or understating impairment inflates current earnings but sets up larger future write-downs.</w:t>
      </w:r>
    </w:p>
    <w:p>
      <w:pPr>
        <w:pStyle w:val="ListParagraph"/>
        <w:numPr>
          <w:ilvl w:val="0"/>
          <w:numId w:val="2"/>
        </w:numPr>
        <w:spacing w:after="80" w:line="276"/>
      </w:pPr>
      <w:r>
        <w:rPr>
          <w:sz w:val="22"/>
          <w:szCs w:val="22"/>
        </w:rPr>
        <w:t xml:space="preserve">Excessive write-downs: an oversized "big bath" depresses current earnings but flatters the future, since the weak assets are already written off.</w:t>
      </w:r>
    </w:p>
    <w:p>
      <w:pPr>
        <w:pStyle w:val="Heading2"/>
        <w:spacing w:after="120" w:before="260"/>
      </w:pPr>
      <w:r>
        <w:rPr>
          <w:b/>
          <w:bCs/>
          <w:color w:val="1F3864"/>
          <w:sz w:val="28"/>
          <w:szCs w:val="28"/>
        </w:rPr>
        <w:t xml:space="preserve">Intangible Assets</w:t>
      </w:r>
    </w:p>
    <w:p>
      <w:pPr>
        <w:spacing w:after="120" w:line="276"/>
      </w:pPr>
      <w:r>
        <w:rPr>
          <w:sz w:val="22"/>
          <w:szCs w:val="22"/>
        </w:rPr>
        <w:t xml:space="preserve">Intangibles are valuable resources without physical form — patents, trademarks, copyrights, brands, customer relationships, and goodwill. Generally they're recorded only when acquired (buying another company, or a market transaction with a clear price like purchasing a patent or licensing content). US GAAP usually does NOT allow capitalizing internally developed intangibles that are hard to value reliably (a self-built brand, internally generated customer loyalty), with narrow exceptions (certain software development costs). That's why well-known, high-value assets — Apple's brand, Google's search algorithm, and, as we saw, Moderna's vaccine IP — don't appear on the balance sheet.</w:t>
      </w:r>
    </w:p>
    <w:p>
      <w:pPr>
        <w:pStyle w:val="Heading3"/>
        <w:spacing w:after="80" w:before="180"/>
      </w:pPr>
      <w:r>
        <w:rPr>
          <w:b/>
          <w:bCs/>
          <w:color w:val="1F3864"/>
          <w:sz w:val="24"/>
          <w:szCs w:val="24"/>
        </w:rPr>
        <w:t xml:space="preserve">Intangibles arising from acquisitions</w:t>
      </w:r>
    </w:p>
    <w:p>
      <w:pPr>
        <w:spacing w:after="120" w:line="276"/>
      </w:pPr>
      <w:r>
        <w:rPr>
          <w:sz w:val="22"/>
          <w:szCs w:val="22"/>
        </w:rPr>
        <w:t xml:space="preserve">In an acquisition, the purchase price often exceeds the fair value of the target's identifiable tangible assets. Part of the excess buys identifiable intangibles (customer lists, patents, trademarks) recorded at fair value. Any remaining excess over the fair value of net identifiable assets is goodwill — the value of expected synergies, growth, management and workforce quality, and reputation that can't be attributed to specific assets. When Facebook (Meta) acquired Instagram, much of the price became goodwill, reflecting the combined entity's growth prospects.</w:t>
      </w:r>
    </w:p>
    <w:p>
      <w:pPr>
        <w:pStyle w:val="Heading3"/>
        <w:spacing w:after="80" w:before="180"/>
      </w:pPr>
      <w:r>
        <w:rPr>
          <w:b/>
          <w:bCs/>
          <w:color w:val="1F3864"/>
          <w:sz w:val="24"/>
          <w:szCs w:val="24"/>
        </w:rPr>
        <w:t xml:space="preserve">Amortization vs. impairment</w:t>
      </w:r>
    </w:p>
    <w:p>
      <w:pPr>
        <w:pStyle w:val="ListParagraph"/>
        <w:numPr>
          <w:ilvl w:val="0"/>
          <w:numId w:val="2"/>
        </w:numPr>
        <w:spacing w:after="80" w:line="276"/>
      </w:pPr>
      <w:r>
        <w:rPr>
          <w:b/>
          <w:bCs/>
          <w:sz w:val="22"/>
          <w:szCs w:val="22"/>
        </w:rPr>
        <w:t xml:space="preserve">Finite-life intangibles: </w:t>
      </w:r>
      <w:r>
        <w:rPr>
          <w:sz w:val="22"/>
          <w:szCs w:val="22"/>
        </w:rPr>
        <w:t xml:space="preserve">amortized over their useful life (a 10-year patent amortized over 10 years). Amortization is conceptually identical to depreciation — the term just applies to intangibles.</w:t>
      </w:r>
    </w:p>
    <w:p>
      <w:pPr>
        <w:pStyle w:val="ListParagraph"/>
        <w:numPr>
          <w:ilvl w:val="0"/>
          <w:numId w:val="2"/>
        </w:numPr>
        <w:spacing w:after="80" w:line="276"/>
      </w:pPr>
      <w:r>
        <w:rPr>
          <w:b/>
          <w:bCs/>
          <w:sz w:val="22"/>
          <w:szCs w:val="22"/>
        </w:rPr>
        <w:t xml:space="preserve">Indefinite-life intangibles and goodwill: </w:t>
      </w:r>
      <w:r>
        <w:rPr>
          <w:sz w:val="22"/>
          <w:szCs w:val="22"/>
        </w:rPr>
        <w:t xml:space="preserve">NOT amortized; tested for impairment at least annually. If fair value falls below carrying value, an impairment charge hits earnings. These tests lean heavily on management's cash-flow projections and discount rates.</w:t>
      </w:r>
    </w:p>
    <w:p>
      <w:pPr>
        <w:spacing w:after="120" w:line="276"/>
      </w:pPr>
      <w:r>
        <w:rPr>
          <w:sz w:val="22"/>
          <w:szCs w:val="22"/>
        </w:rPr>
        <w:t xml:space="preserve">Goodwill isn't amortized, so it can sit unchanged for years and then drop by billions at once when the acquired business disappoints. In Q2 2024, Warner Bros. Discovery took a $9.1 billion goodwill impairment on its linear-TV Networks segment (CNN, TNT, HGTV, and others), part of a roughly $10 billion quarterly loss. The triggers were textbook: the company's market value had fallen below its book value, linear-TV advertising kept weakening, and it lost NBA rights — a clear illustration of the judgment risk buried in goodwill.</w:t>
      </w:r>
    </w:p>
    <w:p>
      <w:pPr>
        <w:pStyle w:val="Heading3"/>
        <w:spacing w:after="80" w:before="180"/>
      </w:pPr>
      <w:r>
        <w:rPr>
          <w:b/>
          <w:bCs/>
          <w:color w:val="1F3864"/>
          <w:sz w:val="24"/>
          <w:szCs w:val="24"/>
        </w:rPr>
        <w:t xml:space="preserve">Challenges in valuing intangibles</w:t>
      </w:r>
    </w:p>
    <w:p>
      <w:pPr>
        <w:pStyle w:val="ListParagraph"/>
        <w:numPr>
          <w:ilvl w:val="0"/>
          <w:numId w:val="2"/>
        </w:numPr>
        <w:spacing w:after="80" w:line="276"/>
      </w:pPr>
      <w:r>
        <w:rPr>
          <w:sz w:val="22"/>
          <w:szCs w:val="22"/>
        </w:rPr>
        <w:t xml:space="preserve">Initial price: the price paid, especially in an acquisition, rests on subjective estimates of future benefit.</w:t>
      </w:r>
    </w:p>
    <w:p>
      <w:pPr>
        <w:pStyle w:val="ListParagraph"/>
        <w:numPr>
          <w:ilvl w:val="0"/>
          <w:numId w:val="2"/>
        </w:numPr>
        <w:spacing w:after="80" w:line="276"/>
      </w:pPr>
      <w:r>
        <w:rPr>
          <w:sz w:val="22"/>
          <w:szCs w:val="22"/>
        </w:rPr>
        <w:t xml:space="preserve">Changing value: intangible value swings with the acquired business's success and market conditions.</w:t>
      </w:r>
    </w:p>
    <w:p>
      <w:pPr>
        <w:pStyle w:val="ListParagraph"/>
        <w:numPr>
          <w:ilvl w:val="0"/>
          <w:numId w:val="2"/>
        </w:numPr>
        <w:spacing w:after="80" w:line="276"/>
      </w:pPr>
      <w:r>
        <w:rPr>
          <w:sz w:val="22"/>
          <w:szCs w:val="22"/>
        </w:rPr>
        <w:t xml:space="preserve">Impairment testing: relies on management projections and discount rates — susceptible to manipulation or honest error.</w:t>
      </w:r>
    </w:p>
    <w:p>
      <w:pPr>
        <w:spacing w:after="120" w:line="276"/>
      </w:pPr>
      <w:r>
        <w:rPr>
          <w:sz w:val="22"/>
          <w:szCs w:val="22"/>
        </w:rPr>
        <w:t xml:space="preserve">US GAAP generally bars writing asset values UP, even when market value rises — so book and market values can diverge substantially, whether an asset was bought at a bargain or grew organically.</w:t>
      </w:r>
    </w:p>
    <w:p>
      <w:pPr>
        <w:pStyle w:val="Heading2"/>
        <w:spacing w:after="120" w:before="260"/>
      </w:pPr>
      <w:r>
        <w:rPr>
          <w:b/>
          <w:bCs/>
          <w:color w:val="1F3864"/>
          <w:sz w:val="28"/>
          <w:szCs w:val="28"/>
        </w:rPr>
        <w:t xml:space="preserve">A Common Critique of US GAAP on Long-Term Assets</w:t>
      </w:r>
    </w:p>
    <w:p>
      <w:pPr>
        <w:spacing w:after="120" w:line="276"/>
      </w:pPr>
      <w:r>
        <w:rPr>
          <w:sz w:val="22"/>
          <w:szCs w:val="22"/>
        </w:rPr>
        <w:t xml:space="preserve">A frequent critique is that the balance sheet gives shareholders incomplete and often irrelevant information about long-term assets:</w:t>
      </w:r>
    </w:p>
    <w:p>
      <w:pPr>
        <w:pStyle w:val="ListParagraph"/>
        <w:numPr>
          <w:ilvl w:val="0"/>
          <w:numId w:val="2"/>
        </w:numPr>
        <w:spacing w:after="80" w:line="276"/>
      </w:pPr>
      <w:r>
        <w:rPr>
          <w:sz w:val="22"/>
          <w:szCs w:val="22"/>
        </w:rPr>
        <w:t xml:space="preserve">Intangibles are huge value drivers in technology, media, and consumer goods — a trend expected to grow — yet many aren't reported at all.</w:t>
      </w:r>
    </w:p>
    <w:p>
      <w:pPr>
        <w:pStyle w:val="ListParagraph"/>
        <w:numPr>
          <w:ilvl w:val="0"/>
          <w:numId w:val="2"/>
        </w:numPr>
        <w:spacing w:after="80" w:line="276"/>
      </w:pPr>
      <w:r>
        <w:rPr>
          <w:sz w:val="22"/>
          <w:szCs w:val="22"/>
        </w:rPr>
        <w:t xml:space="preserve">Reported intangible values are often wrong: too low (no write-ups allowed) or too high (management can delay impairment).</w:t>
      </w:r>
    </w:p>
    <w:p>
      <w:pPr>
        <w:pStyle w:val="ListParagraph"/>
        <w:numPr>
          <w:ilvl w:val="0"/>
          <w:numId w:val="2"/>
        </w:numPr>
        <w:spacing w:after="80" w:line="276"/>
      </w:pPr>
      <w:r>
        <w:rPr>
          <w:sz w:val="22"/>
          <w:szCs w:val="22"/>
        </w:rPr>
        <w:t xml:space="preserve">Reported values are hard to verify, since they depend on uncertain future performance even with abundant internal data.</w:t>
      </w:r>
    </w:p>
    <w:p>
      <w:pPr>
        <w:spacing w:after="120" w:line="276"/>
      </w:pPr>
      <w:r>
        <w:rPr>
          <w:sz w:val="22"/>
          <w:szCs w:val="22"/>
        </w:rPr>
        <w:t xml:space="preserve">Users must apply their own judgment and critical thinking when assessing the value and significance of a company's intangible assets. Two footnotes are especially worth reading in a real 10-K: an acquisition's purchase-price-allocation table, which shows how the price split between identifiable intangibles and goodwill, and the property-and-equipment footnote (for a hyperscaler, its server useful-life table), which shows the depreciation assumptions discussed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2026-08-07T22:51:14.448Z</dcterms:created>
  <dcterms:modified xsi:type="dcterms:W3CDTF">2026-08-07T22:51:14.449Z</dcterms:modified>
</cp:coreProperties>
</file>

<file path=docProps/custom.xml><?xml version="1.0" encoding="utf-8"?>
<Properties xmlns="http://schemas.openxmlformats.org/officeDocument/2006/custom-properties" xmlns:vt="http://schemas.openxmlformats.org/officeDocument/2006/docPropsVTypes"/>
</file>