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b/>
          <w:bCs/>
          <w:color w:val="1F3864"/>
          <w:sz w:val="34"/>
          <w:szCs w:val="34"/>
        </w:rPr>
        <w:t xml:space="preserve">Summary Notes — Owners' Equity, Dividends, and EPS</w:t>
      </w:r>
    </w:p>
    <w:p>
      <w:pPr>
        <w:spacing w:after="160"/>
      </w:pPr>
      <w:r>
        <w:rPr>
          <w:i/>
          <w:iCs/>
          <w:color w:val="595959"/>
          <w:sz w:val="22"/>
          <w:szCs w:val="22"/>
        </w:rPr>
        <w:t xml:space="preserve">Topic: Stock transactions, dividends, and earnings per share — the owners' stake</w:t>
      </w:r>
    </w:p>
    <w:p>
      <w:pPr>
        <w:pStyle w:val="Heading2"/>
        <w:spacing w:after="120" w:before="260"/>
      </w:pPr>
      <w:r>
        <w:rPr>
          <w:b/>
          <w:bCs/>
          <w:color w:val="1F3864"/>
          <w:sz w:val="28"/>
          <w:szCs w:val="28"/>
        </w:rPr>
        <w:t xml:space="preserve">Introduction: The Foundation of Ownership and Returns</w:t>
      </w:r>
    </w:p>
    <w:p>
      <w:pPr>
        <w:spacing w:after="120" w:line="276"/>
      </w:pPr>
      <w:r>
        <w:rPr>
          <w:sz w:val="22"/>
          <w:szCs w:val="22"/>
        </w:rPr>
        <w:t xml:space="preserve">Owners' capital — shareholders' or stockholders' equity — is one of the two main sources of a firm's capital. It is provided by the owners and represents their stake. In liquidation, shareholders have a claim on what's left only AFTER all creditors are paid, which is why equity is riskier than debt.</w:t>
      </w:r>
    </w:p>
    <w:p>
      <w:pPr>
        <w:spacing w:after="120" w:line="276"/>
      </w:pPr>
      <w:r>
        <w:rPr>
          <w:sz w:val="22"/>
          <w:szCs w:val="22"/>
        </w:rPr>
        <w:t xml:space="preserve">Unlike debt, owners' capital doesn't require repayment. Whether to return accumulated profits — as dividends or share repurchases — is up to management, guided by the Board (elected by shareholders). Shareholders benefit two ways: dividends and/or a rising share price above their cost. High-growth firms, especially in tech, often forgo dividends to reinvest for growth and future price appreciation.</w:t>
      </w:r>
    </w:p>
    <w:p>
      <w:pPr>
        <w:spacing w:after="120" w:line="276"/>
      </w:pPr>
      <w:r>
        <w:rPr>
          <w:sz w:val="22"/>
          <w:szCs w:val="22"/>
        </w:rPr>
        <w:t xml:space="preserve">Equity is inherently riskier than lending: returns aren't guaranteed, a company may never pay dividends, the price can fall below cost, and shareholders can lose everything. But the upside is theirs — if the company thrives, all the benefit beyond creditors' fixed claims accrues to shareholders.</w:t>
      </w:r>
    </w:p>
    <w:p>
      <w:pPr>
        <w:spacing w:after="120" w:line="276"/>
      </w:pPr>
      <w:r>
        <w:rPr>
          <w:sz w:val="22"/>
          <w:szCs w:val="22"/>
        </w:rPr>
        <w:t xml:space="preserve">Shareholders also typically get voting rights, including electing the Board, which oversees management on their behalf. So while shareholders don't vote on operating decisions, they influence them indirectly through the directors they elect.</w:t>
      </w:r>
    </w:p>
    <w:p>
      <w:pPr>
        <w:pStyle w:val="Heading3"/>
        <w:spacing w:after="80" w:before="180"/>
      </w:pPr>
      <w:r>
        <w:rPr>
          <w:b/>
          <w:bCs/>
          <w:color w:val="1F3864"/>
          <w:sz w:val="24"/>
          <w:szCs w:val="24"/>
        </w:rPr>
        <w:t xml:space="preserve">Dual-class share structures</w:t>
      </w:r>
    </w:p>
    <w:p>
      <w:pPr>
        <w:spacing w:after="120" w:line="276"/>
      </w:pPr>
      <w:r>
        <w:rPr>
          <w:sz w:val="22"/>
          <w:szCs w:val="22"/>
        </w:rPr>
        <w:t xml:space="preserve">Historically one common share carried one vote, so ownership and voting power lined up. A notable recent trend is dual- or multi-class structures — different classes with different votes (zero, one, or often 10+ per share). Meta, Snap, and Alphabet use them, with founders and early investors holding the high-vote shares. This gives insiders greater control and can enable faster, bolder decisions — but those decisions aren't always well-vetted or in all stakeholders' interest, and the debate over whether such structures help or harm performance and governance continues.</w:t>
      </w:r>
    </w:p>
    <w:p>
      <w:pPr>
        <w:pStyle w:val="Heading3"/>
        <w:spacing w:after="80" w:before="180"/>
      </w:pPr>
      <w:r>
        <w:rPr>
          <w:b/>
          <w:bCs/>
          <w:color w:val="1F3864"/>
          <w:sz w:val="24"/>
          <w:szCs w:val="24"/>
        </w:rPr>
        <w:t xml:space="preserve">Two components of equity</w:t>
      </w:r>
    </w:p>
    <w:p>
      <w:pPr>
        <w:pStyle w:val="ListParagraph"/>
        <w:numPr>
          <w:ilvl w:val="0"/>
          <w:numId w:val="2"/>
        </w:numPr>
        <w:spacing w:after="80" w:line="276"/>
      </w:pPr>
      <w:r>
        <w:rPr>
          <w:b/>
          <w:bCs/>
          <w:sz w:val="22"/>
          <w:szCs w:val="22"/>
        </w:rPr>
        <w:t xml:space="preserve">Contributed capital: </w:t>
      </w:r>
      <w:r>
        <w:rPr>
          <w:sz w:val="22"/>
          <w:szCs w:val="22"/>
        </w:rPr>
        <w:t xml:space="preserve">the capital shareholders invested directly for stock — the historical price they paid.</w:t>
      </w:r>
    </w:p>
    <w:p>
      <w:pPr>
        <w:pStyle w:val="ListParagraph"/>
        <w:numPr>
          <w:ilvl w:val="0"/>
          <w:numId w:val="2"/>
        </w:numPr>
        <w:spacing w:after="80" w:line="276"/>
      </w:pPr>
      <w:r>
        <w:rPr>
          <w:b/>
          <w:bCs/>
          <w:sz w:val="22"/>
          <w:szCs w:val="22"/>
        </w:rPr>
        <w:t xml:space="preserve">Earned capital: </w:t>
      </w:r>
      <w:r>
        <w:rPr>
          <w:sz w:val="22"/>
          <w:szCs w:val="22"/>
        </w:rPr>
        <w:t xml:space="preserve">the cumulative net earnings the company generated and retained (not distributed).</w:t>
      </w:r>
    </w:p>
    <w:p>
      <w:pPr>
        <w:pStyle w:val="Heading2"/>
        <w:spacing w:after="120" w:before="260"/>
      </w:pPr>
      <w:r>
        <w:rPr>
          <w:b/>
          <w:bCs/>
          <w:color w:val="1F3864"/>
          <w:sz w:val="28"/>
          <w:szCs w:val="28"/>
        </w:rPr>
        <w:t xml:space="preserve">Contributed Capital: The Initial Investment</w:t>
      </w:r>
    </w:p>
    <w:p>
      <w:pPr>
        <w:pStyle w:val="ListParagraph"/>
        <w:numPr>
          <w:ilvl w:val="0"/>
          <w:numId w:val="2"/>
        </w:numPr>
        <w:spacing w:after="80" w:line="276"/>
      </w:pPr>
      <w:r>
        <w:rPr>
          <w:b/>
          <w:bCs/>
          <w:sz w:val="22"/>
          <w:szCs w:val="22"/>
        </w:rPr>
        <w:t xml:space="preserve">Common stock: </w:t>
      </w:r>
      <w:r>
        <w:rPr>
          <w:sz w:val="22"/>
          <w:szCs w:val="22"/>
        </w:rPr>
        <w:t xml:space="preserve">capital from common shareholders, the primary owners. The account carries the par value plus any amount above par, recorded as Additional Paid-In Capital (APIC). Par value is an arbitrary nominal amount (often $0.01) with little relation to market price. For simplicity we treat common stock and APIC together as total common-shareholder capital.</w:t>
      </w:r>
    </w:p>
    <w:p>
      <w:pPr>
        <w:pStyle w:val="ListParagraph"/>
        <w:numPr>
          <w:ilvl w:val="0"/>
          <w:numId w:val="2"/>
        </w:numPr>
        <w:spacing w:after="80" w:line="276"/>
      </w:pPr>
      <w:r>
        <w:rPr>
          <w:b/>
          <w:bCs/>
          <w:sz w:val="22"/>
          <w:szCs w:val="22"/>
        </w:rPr>
        <w:t xml:space="preserve">Preferred stock: </w:t>
      </w:r>
      <w:r>
        <w:rPr>
          <w:sz w:val="22"/>
          <w:szCs w:val="22"/>
        </w:rPr>
        <w:t xml:space="preserve">holders get preferences — priority on dividends (often a fixed, cumulative rate paid before common) and a higher claim in liquidation; it can be convertible. Most public companies carry little preferred stock, so we don't dwell on it — but it's central to startup financing rounds, covered in venture-capital electives.</w:t>
      </w:r>
    </w:p>
    <w:p>
      <w:pPr>
        <w:pStyle w:val="Heading3"/>
        <w:spacing w:after="80" w:before="180"/>
      </w:pPr>
      <w:r>
        <w:rPr>
          <w:b/>
          <w:bCs/>
          <w:color w:val="1F3864"/>
          <w:sz w:val="24"/>
          <w:szCs w:val="24"/>
        </w:rPr>
        <w:t xml:space="preserve">Balance-sheet disclosures about shares</w:t>
      </w:r>
    </w:p>
    <w:p>
      <w:pPr>
        <w:pStyle w:val="ListParagraph"/>
        <w:numPr>
          <w:ilvl w:val="0"/>
          <w:numId w:val="2"/>
        </w:numPr>
        <w:spacing w:after="80" w:line="276"/>
      </w:pPr>
      <w:r>
        <w:rPr>
          <w:b/>
          <w:bCs/>
          <w:sz w:val="22"/>
          <w:szCs w:val="22"/>
        </w:rPr>
        <w:t xml:space="preserve">Authorized: </w:t>
      </w:r>
      <w:r>
        <w:rPr>
          <w:sz w:val="22"/>
          <w:szCs w:val="22"/>
        </w:rPr>
        <w:t xml:space="preserve">the maximum shares of each class the charter allows.</w:t>
      </w:r>
    </w:p>
    <w:p>
      <w:pPr>
        <w:pStyle w:val="ListParagraph"/>
        <w:numPr>
          <w:ilvl w:val="0"/>
          <w:numId w:val="2"/>
        </w:numPr>
        <w:spacing w:after="80" w:line="276"/>
      </w:pPr>
      <w:r>
        <w:rPr>
          <w:b/>
          <w:bCs/>
          <w:sz w:val="22"/>
          <w:szCs w:val="22"/>
        </w:rPr>
        <w:t xml:space="preserve">Issued: </w:t>
      </w:r>
      <w:r>
        <w:rPr>
          <w:sz w:val="22"/>
          <w:szCs w:val="22"/>
        </w:rPr>
        <w:t xml:space="preserve">the total shares the company has sold or distributed.</w:t>
      </w:r>
    </w:p>
    <w:p>
      <w:pPr>
        <w:pStyle w:val="ListParagraph"/>
        <w:numPr>
          <w:ilvl w:val="0"/>
          <w:numId w:val="2"/>
        </w:numPr>
        <w:spacing w:after="80" w:line="276"/>
      </w:pPr>
      <w:r>
        <w:rPr>
          <w:b/>
          <w:bCs/>
          <w:sz w:val="22"/>
          <w:szCs w:val="22"/>
        </w:rPr>
        <w:t xml:space="preserve">Outstanding: </w:t>
      </w:r>
      <w:r>
        <w:rPr>
          <w:sz w:val="22"/>
          <w:szCs w:val="22"/>
        </w:rPr>
        <w:t xml:space="preserve">shares currently held by investors = issued − treasury.</w:t>
      </w:r>
    </w:p>
    <w:p>
      <w:pPr>
        <w:pStyle w:val="ListParagraph"/>
        <w:numPr>
          <w:ilvl w:val="0"/>
          <w:numId w:val="2"/>
        </w:numPr>
        <w:spacing w:after="80" w:line="276"/>
      </w:pPr>
      <w:r>
        <w:rPr>
          <w:b/>
          <w:bCs/>
          <w:sz w:val="22"/>
          <w:szCs w:val="22"/>
        </w:rPr>
        <w:t xml:space="preserve">Treasury stock: </w:t>
      </w:r>
      <w:r>
        <w:rPr>
          <w:sz w:val="22"/>
          <w:szCs w:val="22"/>
        </w:rPr>
        <w:t xml:space="preserve">the company's own repurchased shares held in treasury — they get no dividends and can't be voted by the company. They can be reissued (becoming outstanding again). If retired, the original proceeds come out of contributed capital and any excess reduces retained earnings.</w:t>
      </w:r>
    </w:p>
    <w:p>
      <w:pPr>
        <w:pStyle w:val="Heading2"/>
        <w:spacing w:after="120" w:before="260"/>
      </w:pPr>
      <w:r>
        <w:rPr>
          <w:b/>
          <w:bCs/>
          <w:color w:val="1F3864"/>
          <w:sz w:val="28"/>
          <w:szCs w:val="28"/>
        </w:rPr>
        <w:t xml:space="preserve">Earned Capital: Accumulated Profits</w:t>
      </w:r>
    </w:p>
    <w:p>
      <w:pPr>
        <w:spacing w:after="120" w:line="276"/>
      </w:pPr>
      <w:r>
        <w:rPr>
          <w:b/>
          <w:bCs/>
          <w:sz w:val="22"/>
          <w:szCs w:val="22"/>
        </w:rPr>
        <w:t xml:space="preserve">Retained earnings (RE): </w:t>
      </w:r>
      <w:r>
        <w:rPr>
          <w:sz w:val="22"/>
          <w:szCs w:val="22"/>
        </w:rPr>
        <w:t xml:space="preserve">cumulative net income since inception, less dividends paid and the cost of shares repurchased and retired. Each period:</w:t>
      </w:r>
    </w:p>
    <w:p>
      <w:pPr>
        <w:spacing w:after="120" w:before="40"/>
        <w:jc w:val="center"/>
      </w:pPr>
      <w:r>
        <w:rPr>
          <w:b/>
          <w:bCs/>
          <w:color w:val="1F3864"/>
          <w:sz w:val="22"/>
          <w:szCs w:val="22"/>
        </w:rPr>
        <w:t xml:space="preserve">Ending RE = Prior RE + Net Income (− Net Loss) − Dividends − Cost of Retired Buybacks</w:t>
      </w:r>
    </w:p>
    <w:p>
      <w:pPr>
        <w:spacing w:after="120" w:line="276"/>
      </w:pPr>
      <w:r>
        <w:rPr>
          <w:b/>
          <w:bCs/>
          <w:sz w:val="22"/>
          <w:szCs w:val="22"/>
        </w:rPr>
        <w:t xml:space="preserve">Accumulated other comprehensive income (OCI): </w:t>
      </w:r>
      <w:r>
        <w:rPr>
          <w:sz w:val="22"/>
          <w:szCs w:val="22"/>
        </w:rPr>
        <w:t xml:space="preserve">certain gains and losses that bypass net income and go straight to equity — often unrealized until a later event. We don't cover it in detail; examples include unrealized gains/losses on available-for-sale securities and hedging derivatives, and cumulative foreign-currency translation adjustments.</w:t>
      </w:r>
    </w:p>
    <w:p>
      <w:pPr>
        <w:pStyle w:val="Heading3"/>
        <w:spacing w:after="80" w:before="180"/>
      </w:pPr>
      <w:r>
        <w:rPr>
          <w:b/>
          <w:bCs/>
          <w:color w:val="1F3864"/>
          <w:sz w:val="24"/>
          <w:szCs w:val="24"/>
        </w:rPr>
        <w:t xml:space="preserve">Book value vs. market value of equity</w:t>
      </w:r>
    </w:p>
    <w:p>
      <w:pPr>
        <w:spacing w:after="120" w:line="276"/>
      </w:pPr>
      <w:r>
        <w:rPr>
          <w:sz w:val="22"/>
          <w:szCs w:val="22"/>
        </w:rPr>
        <w:t xml:space="preserve">Equity on the balance sheet is book value — historical contributed capital plus retained earnings, not marked to the current share price. Market value (market capitalization = shares outstanding × current price) can differ vastly: market value reflects expectations about future performance, growth, and risk, while book value is rooted in past transactions. The relationship between them is a central topic in finance and valuation.</w:t>
      </w:r>
    </w:p>
    <w:p>
      <w:pPr>
        <w:pStyle w:val="Heading2"/>
        <w:spacing w:after="120" w:before="260"/>
      </w:pPr>
      <w:r>
        <w:rPr>
          <w:b/>
          <w:bCs/>
          <w:color w:val="1F3864"/>
          <w:sz w:val="28"/>
          <w:szCs w:val="28"/>
        </w:rPr>
        <w:t xml:space="preserve">Accounting for Cash Dividends</w:t>
      </w:r>
    </w:p>
    <w:p>
      <w:pPr>
        <w:spacing w:after="120" w:line="276"/>
      </w:pPr>
      <w:r>
        <w:rPr>
          <w:sz w:val="22"/>
          <w:szCs w:val="22"/>
        </w:rPr>
        <w:t xml:space="preserve">A cash dividend is a regular per-share cash payment. Declaring and paying it is the Board's decision, not an obligation. High-growth firms often skip dividends to reinvest, while mature, profitable firms (P&amp;G, J&amp;J) use them to return value. Dividends are NOT on the income statement (not an operating activity) and don't change shares outstanding. Mechanics:</w:t>
      </w:r>
    </w:p>
    <w:p>
      <w:pPr>
        <w:pStyle w:val="ListParagraph"/>
        <w:numPr>
          <w:ilvl w:val="0"/>
          <w:numId w:val="2"/>
        </w:numPr>
        <w:spacing w:after="80" w:line="276"/>
      </w:pPr>
      <w:r>
        <w:rPr>
          <w:b/>
          <w:bCs/>
          <w:sz w:val="22"/>
          <w:szCs w:val="22"/>
        </w:rPr>
        <w:t xml:space="preserve">At declaration: </w:t>
      </w:r>
      <w:r>
        <w:rPr>
          <w:sz w:val="22"/>
          <w:szCs w:val="22"/>
        </w:rPr>
        <w:t xml:space="preserve">record a Dividend Payable liability (dividend per share × shares outstanding) and reduce Retained Earnings by the same amount.</w:t>
      </w:r>
    </w:p>
    <w:p>
      <w:pPr>
        <w:pStyle w:val="ListParagraph"/>
        <w:numPr>
          <w:ilvl w:val="0"/>
          <w:numId w:val="2"/>
        </w:numPr>
        <w:spacing w:after="80" w:line="276"/>
      </w:pPr>
      <w:r>
        <w:rPr>
          <w:b/>
          <w:bCs/>
          <w:sz w:val="22"/>
          <w:szCs w:val="22"/>
        </w:rPr>
        <w:t xml:space="preserve">At payment: </w:t>
      </w:r>
      <w:r>
        <w:rPr>
          <w:sz w:val="22"/>
          <w:szCs w:val="22"/>
        </w:rPr>
        <w:t xml:space="preserve">cash falls and the Dividend Payable liability falls by the same amount.</w:t>
      </w:r>
    </w:p>
    <w:p>
      <w:pPr>
        <w:spacing w:after="120" w:line="276"/>
      </w:pPr>
      <w:r>
        <w:rPr>
          <w:sz w:val="22"/>
          <w:szCs w:val="22"/>
        </w:rPr>
        <w:t xml:space="preserve">Dividends are generally welcomed, but they aren't always optimal — if the company has higher-return investment opportunities, or if it must borrow to fund the dividend and raise leverage to an unsustainable level.</w:t>
      </w:r>
    </w:p>
    <w:p>
      <w:pPr>
        <w:spacing w:after="120" w:line="276"/>
      </w:pPr>
      <w:r>
        <w:rPr>
          <w:sz w:val="22"/>
          <w:szCs w:val="22"/>
        </w:rPr>
        <w:t xml:space="preserve">A landmark recent shift came in 2024, when Meta paid its first-ever dividend ($0.50/quarter, announced February 2024, alongside a $50B buyback authorization) and Alphabet paid its first-ever dividend ($0.20, April 2024, with a $70B buyback); Microsoft and Apple were already long-time payers. Initiating a dividend signals that a company sees itself as cash-generative and more mature — a real inflection point the market watches closely, because a dividend is "sticky" (cutting it is punished, so it should only be started when it can be sustained).</w:t>
      </w:r>
    </w:p>
    <w:p>
      <w:pPr>
        <w:pStyle w:val="Heading2"/>
        <w:spacing w:after="120" w:before="260"/>
      </w:pPr>
      <w:r>
        <w:rPr>
          <w:b/>
          <w:bCs/>
          <w:color w:val="1F3864"/>
          <w:sz w:val="28"/>
          <w:szCs w:val="28"/>
        </w:rPr>
        <w:t xml:space="preserve">Stock Splits and Stock Dividends</w:t>
      </w:r>
    </w:p>
    <w:p>
      <w:pPr>
        <w:spacing w:after="120" w:line="276"/>
      </w:pPr>
      <w:r>
        <w:rPr>
          <w:b/>
          <w:bCs/>
          <w:sz w:val="22"/>
          <w:szCs w:val="22"/>
        </w:rPr>
        <w:t xml:space="preserve">Stock split: </w:t>
      </w:r>
      <w:r>
        <w:rPr>
          <w:sz w:val="22"/>
          <w:szCs w:val="22"/>
        </w:rPr>
        <w:t xml:space="preserve">existing holders get proportionally more shares (a 2-for-1 gives one extra share per share held), and the price falls proportionally (halves in a 2-for-1). The usual motive is to lower the per-share price to widen the investor base and improve liquidity. It's not a monetary transaction, so it doesn't change financial-statement balances; shares outstanding rise and par value per share falls proportionally.</w:t>
      </w:r>
    </w:p>
    <w:p>
      <w:pPr>
        <w:spacing w:after="120" w:line="276"/>
      </w:pPr>
      <w:r>
        <w:rPr>
          <w:b/>
          <w:bCs/>
          <w:sz w:val="22"/>
          <w:szCs w:val="22"/>
        </w:rPr>
        <w:t xml:space="preserve">Stock dividend: </w:t>
      </w:r>
      <w:r>
        <w:rPr>
          <w:sz w:val="22"/>
          <w:szCs w:val="22"/>
        </w:rPr>
        <w:t xml:space="preserve">the company issues additional shares pro-rata (e.g., one per ten held). It doesn't change total equity or add intrinsic value — it just transfers part of Retained Earnings into Common Stock and APIC.</w:t>
      </w:r>
    </w:p>
    <w:p>
      <w:pPr>
        <w:spacing w:after="120" w:line="276"/>
      </w:pPr>
      <w:r>
        <w:rPr>
          <w:sz w:val="22"/>
          <w:szCs w:val="22"/>
        </w:rPr>
        <w:t xml:space="preserve">Neither splits nor stock dividends touch the income statement or the size of the balance sheet — they only change the number of shares outstanding. Recent examples: Nvidia did a 10-for-1 split in June 2024 after its price soared on the AI boom, and Chipotle did a rare 50-for-1 split the same year. In each case a shareholder ended up with more shares at a proportionally lower price and exactly the same total value — a clean reminder that a split changes the share count and price, not the economics or any financial-statement total.</w:t>
      </w:r>
    </w:p>
    <w:p>
      <w:pPr>
        <w:pStyle w:val="Heading2"/>
        <w:spacing w:after="120" w:before="260"/>
      </w:pPr>
      <w:r>
        <w:rPr>
          <w:b/>
          <w:bCs/>
          <w:color w:val="1F3864"/>
          <w:sz w:val="28"/>
          <w:szCs w:val="28"/>
        </w:rPr>
        <w:t xml:space="preserve">Share Issuance and Share Repurchases</w:t>
      </w:r>
    </w:p>
    <w:p>
      <w:pPr>
        <w:spacing w:after="120" w:line="276"/>
      </w:pPr>
      <w:r>
        <w:rPr>
          <w:sz w:val="22"/>
          <w:szCs w:val="22"/>
        </w:rPr>
        <w:t xml:space="preserve">Both hit the equity section and the share count but NOT the income statement.</w:t>
      </w:r>
    </w:p>
    <w:p>
      <w:pPr>
        <w:pStyle w:val="Heading3"/>
        <w:spacing w:after="80" w:before="180"/>
      </w:pPr>
      <w:r>
        <w:rPr>
          <w:b/>
          <w:bCs/>
          <w:color w:val="1F3864"/>
          <w:sz w:val="24"/>
          <w:szCs w:val="24"/>
        </w:rPr>
        <w:t xml:space="preserve">Share issuance</w:t>
      </w:r>
    </w:p>
    <w:p>
      <w:pPr>
        <w:pStyle w:val="ListParagraph"/>
        <w:numPr>
          <w:ilvl w:val="0"/>
          <w:numId w:val="2"/>
        </w:numPr>
        <w:spacing w:after="80" w:line="276"/>
      </w:pPr>
      <w:r>
        <w:rPr>
          <w:sz w:val="22"/>
          <w:szCs w:val="22"/>
        </w:rPr>
        <w:t xml:space="preserve">Cash increases by the amount received.</w:t>
      </w:r>
    </w:p>
    <w:p>
      <w:pPr>
        <w:pStyle w:val="ListParagraph"/>
        <w:numPr>
          <w:ilvl w:val="0"/>
          <w:numId w:val="2"/>
        </w:numPr>
        <w:spacing w:after="80" w:line="276"/>
      </w:pPr>
      <w:r>
        <w:rPr>
          <w:sz w:val="22"/>
          <w:szCs w:val="22"/>
        </w:rPr>
        <w:t xml:space="preserve">Total equity increases by the same amount (Common Stock + APIC).</w:t>
      </w:r>
    </w:p>
    <w:p>
      <w:pPr>
        <w:pStyle w:val="ListParagraph"/>
        <w:numPr>
          <w:ilvl w:val="0"/>
          <w:numId w:val="2"/>
        </w:numPr>
        <w:spacing w:after="80" w:line="276"/>
      </w:pPr>
      <w:r>
        <w:rPr>
          <w:sz w:val="22"/>
          <w:szCs w:val="22"/>
        </w:rPr>
        <w:t xml:space="preserve">Shares outstanding increase by the number issued.</w:t>
      </w:r>
    </w:p>
    <w:p>
      <w:pPr>
        <w:spacing w:after="120" w:line="276"/>
      </w:pPr>
      <w:r>
        <w:rPr>
          <w:sz w:val="22"/>
          <w:szCs w:val="22"/>
        </w:rPr>
        <w:t xml:space="preserve">Example: Zoom issues 1M shares at $300 — cash up $300M, equity up $300M, shares up 1M. Applies to IPOs, secondary offerings, and employee stock options.</w:t>
      </w:r>
    </w:p>
    <w:p>
      <w:pPr>
        <w:pStyle w:val="Heading3"/>
        <w:spacing w:after="80" w:before="180"/>
      </w:pPr>
      <w:r>
        <w:rPr>
          <w:b/>
          <w:bCs/>
          <w:color w:val="1F3864"/>
          <w:sz w:val="24"/>
          <w:szCs w:val="24"/>
        </w:rPr>
        <w:t xml:space="preserve">Share repurchases (buybacks)</w:t>
      </w:r>
    </w:p>
    <w:p>
      <w:pPr>
        <w:pStyle w:val="ListParagraph"/>
        <w:numPr>
          <w:ilvl w:val="0"/>
          <w:numId w:val="2"/>
        </w:numPr>
        <w:spacing w:after="80" w:line="276"/>
      </w:pPr>
      <w:r>
        <w:rPr>
          <w:sz w:val="22"/>
          <w:szCs w:val="22"/>
        </w:rPr>
        <w:t xml:space="preserve">Cash decreases by the amount paid.</w:t>
      </w:r>
    </w:p>
    <w:p>
      <w:pPr>
        <w:pStyle w:val="ListParagraph"/>
        <w:numPr>
          <w:ilvl w:val="0"/>
          <w:numId w:val="2"/>
        </w:numPr>
        <w:spacing w:after="80" w:line="276"/>
      </w:pPr>
      <w:r>
        <w:rPr>
          <w:sz w:val="22"/>
          <w:szCs w:val="22"/>
        </w:rPr>
        <w:t xml:space="preserve">Total equity decreases by the same amount (via Retained Earnings or a Treasury Stock account).</w:t>
      </w:r>
    </w:p>
    <w:p>
      <w:pPr>
        <w:pStyle w:val="ListParagraph"/>
        <w:numPr>
          <w:ilvl w:val="0"/>
          <w:numId w:val="2"/>
        </w:numPr>
        <w:spacing w:after="80" w:line="276"/>
      </w:pPr>
      <w:r>
        <w:rPr>
          <w:sz w:val="22"/>
          <w:szCs w:val="22"/>
        </w:rPr>
        <w:t xml:space="preserve">Shares outstanding decrease by the number repurchased.</w:t>
      </w:r>
    </w:p>
    <w:p>
      <w:pPr>
        <w:spacing w:after="120" w:line="276"/>
      </w:pPr>
      <w:r>
        <w:rPr>
          <w:sz w:val="22"/>
          <w:szCs w:val="22"/>
        </w:rPr>
        <w:t xml:space="preserve">Example: Apple spends $5B repurchasing stock — cash down $5B, equity down $5B, shares down. Buybacks return cash to shareholders and can manage dilution from stock comp or signal that management thinks the stock is undervalued — but management's belief doesn't make it so. Buybacks can DESTROY value when the firm has better investments, funds them with debt, or the shares are overvalued.</w:t>
      </w:r>
    </w:p>
    <w:p>
      <w:pPr>
        <w:spacing w:after="120" w:line="276"/>
      </w:pPr>
      <w:r>
        <w:rPr>
          <w:sz w:val="22"/>
          <w:szCs w:val="22"/>
        </w:rPr>
        <w:t xml:space="preserve">Two things are worth flagging. First, buybacks became the dominant way big U.S. companies return cash — Apple ran the largest program ever, authorizing about $110B in 2024 — and since January 2023 a 1% federal excise tax applies to net buybacks (proposals to raise it to 4% are not enacted), a modest but real cost. Second, years of buybacks funded partly by debt have pushed some healthy companies (McDonald's, Starbucks) to NEGATIVE book equity: the accounting still balances, but book value stops resembling company value.</w:t>
      </w:r>
    </w:p>
    <w:p>
      <w:pPr>
        <w:spacing w:after="120" w:line="276"/>
      </w:pPr>
      <w:r>
        <w:rPr>
          <w:sz w:val="22"/>
          <w:szCs w:val="22"/>
        </w:rPr>
        <w:t xml:space="preserve">The trend is now reversing, however. As the AI build-out has exploded, the largest spenders — Alphabet, Amazon, Meta, and Microsoft — have sharply cut buybacks to fund data-center capital expenditures. Combined big-tech buybacks fell to roughly $12.6B in the fourth quarter of 2025, down about 74% from their 2021 peak, and in a recent quarter Microsoft was essentially the only one of the four still repurchasing much stock. With capex now approaching the size of their operating cash flow, these firms are increasingly funding it with debt — and even new equity issuance (Alphabet has planned a large equity sale). Buybacks are being cut first because they are the most discretionary; dividends are stickier, but they too could come under pressure if the spending race continues. In other words, the same companies that only recently began returning cash are now redirecting it back into the business.</w:t>
      </w:r>
    </w:p>
    <w:p>
      <w:pPr>
        <w:spacing w:after="120" w:line="276"/>
      </w:pPr>
      <w:r>
        <w:rPr>
          <w:sz w:val="22"/>
          <w:szCs w:val="22"/>
        </w:rPr>
        <w:t xml:space="preserve">A quick equity roll-forward ties all these movements together: Beginning equity + Net income − Dividends − Buybacks + New stock issued ± OCI = Ending equity. For example, $500M + $120M − $30M − $60M + $20M = $550M.</w:t>
      </w:r>
    </w:p>
    <w:p>
      <w:pPr>
        <w:spacing w:after="120" w:line="276"/>
      </w:pPr>
      <w:r>
        <w:rPr>
          <w:b/>
          <w:bCs/>
          <w:sz w:val="22"/>
          <w:szCs w:val="22"/>
        </w:rPr>
        <w:t xml:space="preserve">Dividend vs. buyback — same $1B returned: </w:t>
      </w:r>
      <w:r>
        <w:rPr>
          <w:sz w:val="22"/>
          <w:szCs w:val="22"/>
        </w:rPr>
        <w:t xml:space="preserve">both reduce cash and equity by $1B. A dividend leaves the share count unchanged and puts cash in shareholders' hands (taxable now for a taxable holder); a buyback reduces the share count, mechanically lifts EPS, and defers the shareholder's tax until they choose to sell. Which is "better" depends on the shareholder's tax position and on whether the stock is fairly priced.</w:t>
      </w:r>
    </w:p>
    <w:p>
      <w:pPr>
        <w:pStyle w:val="Heading2"/>
        <w:spacing w:after="120" w:before="260"/>
      </w:pPr>
      <w:r>
        <w:rPr>
          <w:b/>
          <w:bCs/>
          <w:color w:val="1F3864"/>
          <w:sz w:val="28"/>
          <w:szCs w:val="28"/>
        </w:rPr>
        <w:t xml:space="preserve">Trading in Secondary Markets</w:t>
      </w:r>
    </w:p>
    <w:p>
      <w:pPr>
        <w:spacing w:after="120" w:line="276"/>
      </w:pPr>
      <w:r>
        <w:rPr>
          <w:sz w:val="22"/>
          <w:szCs w:val="22"/>
        </w:rPr>
        <w:t xml:space="preserve">The company's initial sale of stock to the public is a primary-market transaction — shares for cash. After that, investors trade among themselves on the secondary market (e.g., buying Microsoft on Nasdaq). The company receives no proceeds and bears no cost from these trades. They move the share price and market capitalization, but do not directly affect operations, performance, or the cash balance.</w:t>
      </w:r>
    </w:p>
    <w:p>
      <w:pPr>
        <w:pStyle w:val="Heading2"/>
        <w:spacing w:after="120" w:before="260"/>
      </w:pPr>
      <w:r>
        <w:rPr>
          <w:b/>
          <w:bCs/>
          <w:color w:val="1F3864"/>
          <w:sz w:val="28"/>
          <w:szCs w:val="28"/>
        </w:rPr>
        <w:t xml:space="preserve">Earnings Per Share (EPS)</w:t>
      </w:r>
    </w:p>
    <w:p>
      <w:pPr>
        <w:spacing w:after="120" w:line="276"/>
      </w:pPr>
      <w:r>
        <w:rPr>
          <w:sz w:val="22"/>
          <w:szCs w:val="22"/>
        </w:rPr>
        <w:t xml:space="preserve">EPS is the share of a period's net income attributable to each outstanding common share — a widely watched profitability measure for tracking performance over time and against peers. Two versions:</w:t>
      </w:r>
    </w:p>
    <w:p>
      <w:pPr>
        <w:spacing w:after="120" w:line="276"/>
      </w:pPr>
      <w:r>
        <w:rPr>
          <w:b/>
          <w:bCs/>
          <w:sz w:val="22"/>
          <w:szCs w:val="22"/>
        </w:rPr>
        <w:t xml:space="preserve">Basic EPS: </w:t>
      </w:r>
      <w:r>
        <w:rPr>
          <w:sz w:val="22"/>
          <w:szCs w:val="22"/>
        </w:rPr>
        <w:t xml:space="preserve">net income divided by the weighted-average common shares outstanding.</w:t>
      </w:r>
    </w:p>
    <w:p>
      <w:pPr>
        <w:spacing w:after="120" w:before="40"/>
        <w:jc w:val="center"/>
      </w:pPr>
      <w:r>
        <w:rPr>
          <w:b/>
          <w:bCs/>
          <w:color w:val="1F3864"/>
          <w:sz w:val="22"/>
          <w:szCs w:val="22"/>
        </w:rPr>
        <w:t xml:space="preserve">Basic EPS = Net Income / Weighted Average Common Shares Outstanding</w:t>
      </w:r>
    </w:p>
    <w:p>
      <w:pPr>
        <w:spacing w:after="120" w:line="276"/>
      </w:pPr>
      <w:r>
        <w:rPr>
          <w:b/>
          <w:bCs/>
          <w:sz w:val="22"/>
          <w:szCs w:val="22"/>
        </w:rPr>
        <w:t xml:space="preserve">Diluted EPS: </w:t>
      </w:r>
      <w:r>
        <w:rPr>
          <w:sz w:val="22"/>
          <w:szCs w:val="22"/>
        </w:rPr>
        <w:t xml:space="preserve">also counts shares that could be created if dilutive securities (options, RSUs, convertibles) were exercised or converted (with any related net-income adjustments). Diluted EPS is always ≤ basic EPS — a more conservative view.</w:t>
      </w:r>
    </w:p>
    <w:p>
      <w:pPr>
        <w:spacing w:after="120" w:before="40"/>
        <w:jc w:val="center"/>
      </w:pPr>
      <w:r>
        <w:rPr>
          <w:b/>
          <w:bCs/>
          <w:color w:val="1F3864"/>
          <w:sz w:val="22"/>
          <w:szCs w:val="22"/>
        </w:rPr>
        <w:t xml:space="preserve">Diluted EPS = (Net Income ± Adjustments) / (Weighted Avg Shares + Dilutive Shares)</w:t>
      </w:r>
    </w:p>
    <w:p>
      <w:pPr>
        <w:spacing w:after="120" w:line="276"/>
      </w:pPr>
      <w:r>
        <w:rPr>
          <w:sz w:val="22"/>
          <w:szCs w:val="22"/>
        </w:rPr>
        <w:t xml:space="preserve">EPS varies widely across companies, and a high EPS doesn't by itself mean higher value or price — it can simply reflect fewer shares outstanding, which is exactly why buybacks raise EPS mechanically even when profit is flat.</w:t>
      </w:r>
    </w:p>
    <w:p>
      <w:pPr>
        <w:pStyle w:val="Heading3"/>
        <w:spacing w:after="80" w:before="180"/>
      </w:pPr>
      <w:r>
        <w:rPr>
          <w:b/>
          <w:bCs/>
          <w:color w:val="1F3864"/>
          <w:sz w:val="24"/>
          <w:szCs w:val="24"/>
        </w:rPr>
        <w:t xml:space="preserve">GAAP vs. non-GAAP earnings</w:t>
      </w:r>
    </w:p>
    <w:p>
      <w:pPr>
        <w:spacing w:after="120" w:line="276"/>
      </w:pPr>
      <w:r>
        <w:rPr>
          <w:sz w:val="22"/>
          <w:szCs w:val="22"/>
        </w:rPr>
        <w:t xml:space="preserve">Companies must report EPS on GAAP net income. Many also present non-GAAP earnings when management believes GAAP understates underlying performance, often excluding items like stock-based compensation, certain D&amp;A, investment or asset-sale gains/losses, and restructuring or other non-recurring costs. Non-GAAP figures must be reconciled to GAAP. They can be informative, but read them with caution — management has an incentive to show performance in the best light.</w:t>
      </w:r>
    </w:p>
    <w:p>
      <w:pPr>
        <w:pStyle w:val="Heading2"/>
        <w:spacing w:after="120" w:before="260"/>
      </w:pPr>
      <w:r>
        <w:rPr>
          <w:b/>
          <w:bCs/>
          <w:color w:val="1F3864"/>
          <w:sz w:val="28"/>
          <w:szCs w:val="28"/>
        </w:rPr>
        <w:t xml:space="preserve">Optional Reading: Stock-Based Compensation (SBC)</w:t>
      </w:r>
    </w:p>
    <w:p>
      <w:pPr>
        <w:spacing w:after="120" w:line="276"/>
      </w:pPr>
      <w:r>
        <w:rPr>
          <w:sz w:val="22"/>
          <w:szCs w:val="22"/>
        </w:rPr>
        <w:t xml:space="preserve">Many companies, especially in tech and startups, pay employees partly in stock instead of cash. Common forms:</w:t>
      </w:r>
    </w:p>
    <w:p>
      <w:pPr>
        <w:pStyle w:val="ListParagraph"/>
        <w:numPr>
          <w:ilvl w:val="0"/>
          <w:numId w:val="2"/>
        </w:numPr>
        <w:spacing w:after="80" w:line="276"/>
      </w:pPr>
      <w:r>
        <w:rPr>
          <w:b/>
          <w:bCs/>
          <w:sz w:val="22"/>
          <w:szCs w:val="22"/>
        </w:rPr>
        <w:t xml:space="preserve">Restricted stock units (RSUs): </w:t>
      </w:r>
      <w:r>
        <w:rPr>
          <w:sz w:val="22"/>
          <w:szCs w:val="22"/>
        </w:rPr>
        <w:t xml:space="preserve">grants that vest over time (usually requiring continued employment); on vesting the employee receives shares to hold or sell.</w:t>
      </w:r>
    </w:p>
    <w:p>
      <w:pPr>
        <w:pStyle w:val="ListParagraph"/>
        <w:numPr>
          <w:ilvl w:val="0"/>
          <w:numId w:val="2"/>
        </w:numPr>
        <w:spacing w:after="80" w:line="276"/>
      </w:pPr>
      <w:r>
        <w:rPr>
          <w:b/>
          <w:bCs/>
          <w:sz w:val="22"/>
          <w:szCs w:val="22"/>
        </w:rPr>
        <w:t xml:space="preserve">Stock options: </w:t>
      </w:r>
      <w:r>
        <w:rPr>
          <w:sz w:val="22"/>
          <w:szCs w:val="22"/>
        </w:rPr>
        <w:t xml:space="preserve">the right to buy stock at a set exercise price after vesting; if the market price exceeds it, the employee can buy low and sell at market, capturing the gain as compensation.</w:t>
      </w:r>
    </w:p>
    <w:p>
      <w:pPr>
        <w:pStyle w:val="ListParagraph"/>
        <w:numPr>
          <w:ilvl w:val="0"/>
          <w:numId w:val="2"/>
        </w:numPr>
        <w:spacing w:after="80" w:line="276"/>
      </w:pPr>
      <w:r>
        <w:rPr>
          <w:b/>
          <w:bCs/>
          <w:sz w:val="22"/>
          <w:szCs w:val="22"/>
        </w:rPr>
        <w:t xml:space="preserve">Employee stock purchase plans (ESPPs): </w:t>
      </w:r>
      <w:r>
        <w:rPr>
          <w:sz w:val="22"/>
          <w:szCs w:val="22"/>
        </w:rPr>
        <w:t xml:space="preserve">let employees buy stock, often at a discount.</w:t>
      </w:r>
    </w:p>
    <w:p>
      <w:pPr>
        <w:spacing w:after="120" w:line="276"/>
      </w:pPr>
      <w:r>
        <w:rPr>
          <w:sz w:val="22"/>
          <w:szCs w:val="22"/>
        </w:rPr>
        <w:t xml:space="preserve">SBC aligns employees with shareholders, aids retention through vesting, and preserves cash (valuable for early-stage firms). Its costs: dilution from new shares, and weaker motivation if the stock underperforms. In accounting, the fair value of SBC is expensed over the vesting period, in whichever expense line matches the employee's role (COGS, S&amp;M, R&amp;D, or G&amp;A). Option fair values require valuation models, and SBC details are disclosed in the footnotes — reading that footnote (grant value, vesting, resulting dilution) connects directly to the non-GAAP add-back debate from the income-statement session, where many companies add SBC back to make "adjusted" profit look higher.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2026-08-07T23:04:18.434Z</dcterms:created>
  <dcterms:modified xsi:type="dcterms:W3CDTF">2026-08-07T23:04:18.434Z</dcterms:modified>
</cp:coreProperties>
</file>

<file path=docProps/custom.xml><?xml version="1.0" encoding="utf-8"?>
<Properties xmlns="http://schemas.openxmlformats.org/officeDocument/2006/custom-properties" xmlns:vt="http://schemas.openxmlformats.org/officeDocument/2006/docPropsVTypes"/>
</file>