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1DB7" w14:textId="77777777" w:rsidR="000B7B94" w:rsidRDefault="00395D3D">
      <w:pPr>
        <w:pStyle w:val="Heading1"/>
        <w:spacing w:before="120" w:after="80"/>
      </w:pPr>
      <w:r>
        <w:rPr>
          <w:b/>
          <w:bCs/>
          <w:color w:val="1F3864"/>
          <w:sz w:val="34"/>
          <w:szCs w:val="34"/>
        </w:rPr>
        <w:t>Summary Notes — The Cash Flow Statement</w:t>
      </w:r>
    </w:p>
    <w:p w14:paraId="4DF41DB8" w14:textId="77777777" w:rsidR="000B7B94" w:rsidRDefault="00395D3D">
      <w:pPr>
        <w:spacing w:after="160"/>
      </w:pPr>
      <w:r>
        <w:rPr>
          <w:i/>
          <w:iCs/>
          <w:color w:val="595959"/>
        </w:rPr>
        <w:t>Topic: Cash Flow Statement — Preparation and Analysis</w:t>
      </w:r>
    </w:p>
    <w:p w14:paraId="4DF41DB9" w14:textId="77777777" w:rsidR="000B7B94" w:rsidRDefault="00395D3D">
      <w:pPr>
        <w:pStyle w:val="Heading2"/>
        <w:spacing w:before="260" w:after="120"/>
      </w:pPr>
      <w:r>
        <w:rPr>
          <w:b/>
          <w:bCs/>
          <w:color w:val="1F3864"/>
          <w:sz w:val="28"/>
          <w:szCs w:val="28"/>
        </w:rPr>
        <w:t>Introduction: Cash Generation Is the Lifeblood of Business</w:t>
      </w:r>
    </w:p>
    <w:p w14:paraId="4DF41DBA" w14:textId="77777777" w:rsidR="000B7B94" w:rsidRDefault="00395D3D">
      <w:pPr>
        <w:spacing w:after="120" w:line="276" w:lineRule="auto"/>
      </w:pPr>
      <w:r>
        <w:t>Generating cash is fundamental to survival and success, so understanding the sources and uses of a company's cash is essential — for managers deciding strategy and for analysts judging financial health.</w:t>
      </w:r>
    </w:p>
    <w:p w14:paraId="4DF41DBB" w14:textId="77777777" w:rsidR="000B7B94" w:rsidRDefault="00395D3D">
      <w:pPr>
        <w:pStyle w:val="ListParagraph"/>
        <w:numPr>
          <w:ilvl w:val="0"/>
          <w:numId w:val="2"/>
        </w:numPr>
        <w:spacing w:after="80" w:line="276" w:lineRule="auto"/>
      </w:pPr>
      <w:r>
        <w:rPr>
          <w:b/>
          <w:bCs/>
        </w:rPr>
        <w:t xml:space="preserve">Positive cash flow: </w:t>
      </w:r>
      <w:r>
        <w:t>gives flexibility to expand, replace aging assets, attract talent, pursue opportunities, fund R&amp;D, and reward owners through dividends or buybacks. Consistent positive cash flow signals a healthy, sustainable business.</w:t>
      </w:r>
    </w:p>
    <w:p w14:paraId="4DF41DBC" w14:textId="77777777" w:rsidR="000B7B94" w:rsidRDefault="00395D3D">
      <w:pPr>
        <w:pStyle w:val="ListParagraph"/>
        <w:numPr>
          <w:ilvl w:val="0"/>
          <w:numId w:val="2"/>
        </w:numPr>
        <w:spacing w:after="80" w:line="276" w:lineRule="auto"/>
      </w:pPr>
      <w:r>
        <w:rPr>
          <w:b/>
          <w:bCs/>
        </w:rPr>
        <w:t xml:space="preserve">Negative cash flow: </w:t>
      </w:r>
      <w:r>
        <w:t>isn't always a bad sign — early-stage, high-growth firms often invest ahead of demand — but it can't last forever. The duration, size, and reasons matter; prolonged negative operating cash flow can flag real trouble.</w:t>
      </w:r>
    </w:p>
    <w:p w14:paraId="4DF41DBD" w14:textId="77777777" w:rsidR="000B7B94" w:rsidRDefault="00395D3D">
      <w:pPr>
        <w:spacing w:after="120" w:line="276" w:lineRule="auto"/>
      </w:pPr>
      <w:r>
        <w:t xml:space="preserve">Because the income statement uses accrual accounting (recognizing revenue and expense when earned or incurred, not when cash moves), net income rarely equals the change in cash. </w:t>
      </w:r>
      <w:proofErr w:type="gramStart"/>
      <w:r>
        <w:t>So</w:t>
      </w:r>
      <w:proofErr w:type="gramEnd"/>
      <w:r>
        <w:t xml:space="preserve"> companies prepare a separate Statement of Cash Flows that bridges net income to the change in the cash balance — connecting the income statement and balance sheet.</w:t>
      </w:r>
    </w:p>
    <w:p w14:paraId="4DF41DBE" w14:textId="77777777" w:rsidR="000B7B94" w:rsidRDefault="00395D3D">
      <w:pPr>
        <w:spacing w:after="120" w:line="276" w:lineRule="auto"/>
      </w:pPr>
      <w:r>
        <w:t>It sorts all cash flows into three activities — operating, investing, and financing — which lets users see WHERE the cash came from and judge the quality of the cash balance. Cash from operations (the core business) signals sustainable strength; cash that comes mainly from financing (more debt) may signal reliance on outside funding to cover weak operations. The three sections always sum to the net change in cash, which reconciles the beginning and ending cash on the balance sheet.</w:t>
      </w:r>
    </w:p>
    <w:p w14:paraId="4DF41DBF" w14:textId="77777777" w:rsidR="000B7B94" w:rsidRDefault="00395D3D">
      <w:pPr>
        <w:spacing w:after="120" w:line="276" w:lineRule="auto"/>
      </w:pPr>
      <w:r>
        <w:t xml:space="preserve">A single line anchors the whole topic: profit is an opinion; cash is a fact. Net income depends on estimates and accrual timing, whereas the cash flow statement checks how much of that profit </w:t>
      </w:r>
      <w:proofErr w:type="gramStart"/>
      <w:r>
        <w:t>actually showed</w:t>
      </w:r>
      <w:proofErr w:type="gramEnd"/>
      <w:r>
        <w:t xml:space="preserve"> up as cash. The gap between net income and cash from operations is the single best quick read on earnings quality.</w:t>
      </w:r>
    </w:p>
    <w:p w14:paraId="4DF41DC0" w14:textId="77777777" w:rsidR="000B7B94" w:rsidRDefault="00395D3D">
      <w:pPr>
        <w:pStyle w:val="Heading2"/>
        <w:spacing w:before="260" w:after="120"/>
      </w:pPr>
      <w:r>
        <w:rPr>
          <w:b/>
          <w:bCs/>
          <w:color w:val="1F3864"/>
          <w:sz w:val="28"/>
          <w:szCs w:val="28"/>
        </w:rPr>
        <w:t>Cash Flow from Operations (</w:t>
      </w:r>
      <w:proofErr w:type="gramStart"/>
      <w:r>
        <w:rPr>
          <w:b/>
          <w:bCs/>
          <w:color w:val="1F3864"/>
          <w:sz w:val="28"/>
          <w:szCs w:val="28"/>
        </w:rPr>
        <w:t>CFO) —</w:t>
      </w:r>
      <w:proofErr w:type="gramEnd"/>
      <w:r>
        <w:rPr>
          <w:b/>
          <w:bCs/>
          <w:color w:val="1F3864"/>
          <w:sz w:val="28"/>
          <w:szCs w:val="28"/>
        </w:rPr>
        <w:t xml:space="preserve"> Indirect Method</w:t>
      </w:r>
    </w:p>
    <w:p w14:paraId="4DF41DC1" w14:textId="77777777" w:rsidR="000B7B94" w:rsidRDefault="00395D3D">
      <w:pPr>
        <w:spacing w:after="120" w:line="276" w:lineRule="auto"/>
      </w:pPr>
      <w:r>
        <w:t>Almost all companies use the indirect method: start with net income, then adjust to reconcile it to the actual cash from operating activities. The adjustments fall into three groups.</w:t>
      </w:r>
    </w:p>
    <w:p w14:paraId="4DF41DC2" w14:textId="77777777" w:rsidR="000B7B94" w:rsidRDefault="00395D3D">
      <w:pPr>
        <w:pStyle w:val="Heading3"/>
        <w:spacing w:before="180" w:after="80"/>
      </w:pPr>
      <w:r>
        <w:rPr>
          <w:b/>
          <w:bCs/>
          <w:color w:val="1F3864"/>
        </w:rPr>
        <w:t>Adjustment 1: Non-cash expenses (and income)</w:t>
      </w:r>
    </w:p>
    <w:p w14:paraId="4DF41DC3" w14:textId="77777777" w:rsidR="000B7B94" w:rsidRDefault="00395D3D">
      <w:pPr>
        <w:spacing w:after="120" w:line="276" w:lineRule="auto"/>
      </w:pPr>
      <w:r>
        <w:t>Some income-statement expenses reduce net income without any cash leaving, so they're added back:</w:t>
      </w:r>
    </w:p>
    <w:p w14:paraId="4DF41DC4" w14:textId="77777777" w:rsidR="000B7B94" w:rsidRDefault="00395D3D">
      <w:pPr>
        <w:pStyle w:val="ListParagraph"/>
        <w:numPr>
          <w:ilvl w:val="0"/>
          <w:numId w:val="2"/>
        </w:numPr>
        <w:spacing w:after="80" w:line="276" w:lineRule="auto"/>
      </w:pPr>
      <w:r>
        <w:rPr>
          <w:b/>
          <w:bCs/>
        </w:rPr>
        <w:t xml:space="preserve">Depreciation: </w:t>
      </w:r>
      <w:r>
        <w:t>the expense for using tangible long-term assets — FedEx reports large depreciation on aircraft and vehicles.</w:t>
      </w:r>
    </w:p>
    <w:p w14:paraId="4DF41DC5" w14:textId="77777777" w:rsidR="000B7B94" w:rsidRDefault="00395D3D">
      <w:pPr>
        <w:pStyle w:val="ListParagraph"/>
        <w:numPr>
          <w:ilvl w:val="0"/>
          <w:numId w:val="2"/>
        </w:numPr>
        <w:spacing w:after="80" w:line="276" w:lineRule="auto"/>
      </w:pPr>
      <w:r>
        <w:rPr>
          <w:b/>
          <w:bCs/>
        </w:rPr>
        <w:t xml:space="preserve">Amortization: </w:t>
      </w:r>
      <w:r>
        <w:t>the expense for finite-life intangibles — Netflix reports major amortization of content assets.</w:t>
      </w:r>
    </w:p>
    <w:p w14:paraId="4DF41DC6" w14:textId="77777777" w:rsidR="000B7B94" w:rsidRDefault="00395D3D">
      <w:pPr>
        <w:pStyle w:val="ListParagraph"/>
        <w:numPr>
          <w:ilvl w:val="0"/>
          <w:numId w:val="2"/>
        </w:numPr>
        <w:spacing w:after="80" w:line="276" w:lineRule="auto"/>
      </w:pPr>
      <w:r>
        <w:rPr>
          <w:b/>
          <w:bCs/>
        </w:rPr>
        <w:t xml:space="preserve">Stock-based compensation (SBC): </w:t>
      </w:r>
      <w:r>
        <w:t>the value of stock granted to employees — big at tech firms like Salesforce. It reduces net income but uses no cash, so it's added back.</w:t>
      </w:r>
    </w:p>
    <w:p w14:paraId="4DF41DC7" w14:textId="77777777" w:rsidR="000B7B94" w:rsidRDefault="00395D3D">
      <w:pPr>
        <w:spacing w:after="120" w:line="276" w:lineRule="auto"/>
      </w:pPr>
      <w:r>
        <w:lastRenderedPageBreak/>
        <w:t>Non-cash income is subtracted by the same logic. One caution about SBC: it is the largest non-cash add-back for many tech companies, so it can lift CFO substantially — yet it is a real cost to shareholders through dilution. That tension is why some investors treat an SBC-heavy CFO as overstated, and it links to a recent shift: Nvidia said it will start INCLUDING stock-based compensation in its non-GAAP earnings from fiscal 2027, bucking the usual practice of adding it back. It's worth checking how much of a</w:t>
      </w:r>
      <w:r>
        <w:t xml:space="preserve"> company's CFO is simply the SBC add-back.</w:t>
      </w:r>
    </w:p>
    <w:p w14:paraId="4DF41DC8" w14:textId="77777777" w:rsidR="000B7B94" w:rsidRDefault="00395D3D">
      <w:pPr>
        <w:pStyle w:val="Heading3"/>
        <w:spacing w:before="180" w:after="80"/>
      </w:pPr>
      <w:r>
        <w:rPr>
          <w:b/>
          <w:bCs/>
          <w:color w:val="1F3864"/>
        </w:rPr>
        <w:t>Adjustment 2: Non-operating gains and losses</w:t>
      </w:r>
    </w:p>
    <w:p w14:paraId="4DF41DC9" w14:textId="77777777" w:rsidR="000B7B94" w:rsidRDefault="00395D3D">
      <w:pPr>
        <w:spacing w:after="120" w:line="276" w:lineRule="auto"/>
      </w:pPr>
      <w:r>
        <w:t xml:space="preserve">Net income may include gains or losses outside core operations (e.g., selling long-term assets or investments). These are removed from </w:t>
      </w:r>
      <w:proofErr w:type="gramStart"/>
      <w:r>
        <w:t>CFO</w:t>
      </w:r>
      <w:proofErr w:type="gramEnd"/>
      <w:r>
        <w:t xml:space="preserve"> so it reflects only core operations — the related cash belongs in investing or financing. If McDonald's sells restaurant property at a gain, the gain is in net </w:t>
      </w:r>
      <w:proofErr w:type="gramStart"/>
      <w:r>
        <w:t>income</w:t>
      </w:r>
      <w:proofErr w:type="gramEnd"/>
      <w:r>
        <w:t xml:space="preserve"> but the cash inflow is an investing activity, so the gain is subtracted here to avoid double-counting. Gains are subtracted; losses are added back.</w:t>
      </w:r>
    </w:p>
    <w:p w14:paraId="4DF41DCA" w14:textId="77777777" w:rsidR="000B7B94" w:rsidRDefault="00395D3D">
      <w:pPr>
        <w:pStyle w:val="Heading3"/>
        <w:spacing w:before="180" w:after="80"/>
      </w:pPr>
      <w:r>
        <w:rPr>
          <w:b/>
          <w:bCs/>
          <w:color w:val="1F3864"/>
        </w:rPr>
        <w:t>Adjustment 3: Changes in current operating assets and liabilities</w:t>
      </w:r>
    </w:p>
    <w:p w14:paraId="4DF41DCB" w14:textId="77777777" w:rsidR="000B7B94" w:rsidRDefault="00395D3D">
      <w:pPr>
        <w:spacing w:after="120" w:line="276" w:lineRule="auto"/>
      </w:pPr>
      <w:r>
        <w:t>Accrual timing — when revenue/expense is recognized versus when cash moves — creates gaps between net income and operating cash, captured by changes in current operating accounts:</w:t>
      </w:r>
    </w:p>
    <w:p w14:paraId="4DF41DCC" w14:textId="77777777" w:rsidR="000B7B94" w:rsidRDefault="00395D3D">
      <w:pPr>
        <w:pStyle w:val="ListParagraph"/>
        <w:numPr>
          <w:ilvl w:val="0"/>
          <w:numId w:val="2"/>
        </w:numPr>
        <w:spacing w:after="80" w:line="276" w:lineRule="auto"/>
      </w:pPr>
      <w:r>
        <w:rPr>
          <w:b/>
          <w:bCs/>
        </w:rPr>
        <w:t xml:space="preserve">Accounts receivable up: </w:t>
      </w:r>
      <w:r>
        <w:t>credit sales not yet collected, so revenue in net income didn't bring cash — subtract. AR down — more collected — add.</w:t>
      </w:r>
    </w:p>
    <w:p w14:paraId="4DF41DCD" w14:textId="77777777" w:rsidR="000B7B94" w:rsidRDefault="00395D3D">
      <w:pPr>
        <w:pStyle w:val="ListParagraph"/>
        <w:numPr>
          <w:ilvl w:val="0"/>
          <w:numId w:val="2"/>
        </w:numPr>
        <w:spacing w:after="80" w:line="276" w:lineRule="auto"/>
      </w:pPr>
      <w:r>
        <w:rPr>
          <w:b/>
          <w:bCs/>
        </w:rPr>
        <w:t xml:space="preserve">Accounts payable up: </w:t>
      </w:r>
      <w:r>
        <w:t>purchases recognized but not yet paid — add. AP down — more paid — subtract.</w:t>
      </w:r>
    </w:p>
    <w:p w14:paraId="4DF41DCE" w14:textId="77777777" w:rsidR="000B7B94" w:rsidRDefault="00395D3D">
      <w:pPr>
        <w:spacing w:after="120" w:line="276" w:lineRule="auto"/>
      </w:pPr>
      <w:r>
        <w:t>The same logic covers inventory, prepaid expenses, accrued expenses, and deferred revenue. A clean way to remember it:</w:t>
      </w:r>
    </w:p>
    <w:p w14:paraId="4DF41DDE" w14:textId="77777777" w:rsidR="000B7B94" w:rsidRDefault="000B7B94">
      <w:pPr>
        <w:spacing w:after="120"/>
      </w:pPr>
    </w:p>
    <w:p w14:paraId="7EB8F233" w14:textId="55DA5905" w:rsidR="00127BC4" w:rsidRDefault="00127BC4">
      <w:pPr>
        <w:spacing w:after="120"/>
      </w:pPr>
      <w:r w:rsidRPr="00127BC4">
        <w:drawing>
          <wp:inline distT="0" distB="0" distL="0" distR="0" wp14:anchorId="7A035C7A" wp14:editId="342FB4FC">
            <wp:extent cx="5943600" cy="1363980"/>
            <wp:effectExtent l="0" t="0" r="0" b="0"/>
            <wp:docPr id="431706596" name="Picture 1" descr="CF statemen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6596" name="Picture 1" descr="CF statement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363980"/>
                    </a:xfrm>
                    <a:prstGeom prst="rect">
                      <a:avLst/>
                    </a:prstGeom>
                    <a:noFill/>
                    <a:ln>
                      <a:noFill/>
                    </a:ln>
                  </pic:spPr>
                </pic:pic>
              </a:graphicData>
            </a:graphic>
          </wp:inline>
        </w:drawing>
      </w:r>
    </w:p>
    <w:p w14:paraId="4DF41DDF" w14:textId="77777777" w:rsidR="000B7B94" w:rsidRDefault="00395D3D">
      <w:pPr>
        <w:spacing w:after="120" w:line="276" w:lineRule="auto"/>
      </w:pPr>
      <w:r>
        <w:t xml:space="preserve">The result is CFO — the net cash the core business generated or used. Sustainable companies should generate positive CFO over time; prolonged negative CFO is a warning. And CFO reflects operating choices: extending more generous credit terms raises AR and lowers CFO; paying suppliers faster lowers AP </w:t>
      </w:r>
      <w:proofErr w:type="gramStart"/>
      <w:r>
        <w:t>and also</w:t>
      </w:r>
      <w:proofErr w:type="gramEnd"/>
      <w:r>
        <w:t xml:space="preserve"> lowers CFO.</w:t>
      </w:r>
    </w:p>
    <w:p w14:paraId="4DF41DE0" w14:textId="77777777" w:rsidR="000B7B94" w:rsidRDefault="00395D3D">
      <w:pPr>
        <w:pStyle w:val="Heading3"/>
        <w:spacing w:before="180" w:after="80"/>
      </w:pPr>
      <w:r>
        <w:rPr>
          <w:b/>
          <w:bCs/>
          <w:color w:val="1F3864"/>
        </w:rPr>
        <w:t>A worked CFO example</w:t>
      </w:r>
    </w:p>
    <w:p w14:paraId="4DF41DE1" w14:textId="77777777" w:rsidR="000B7B94" w:rsidRDefault="00395D3D">
      <w:pPr>
        <w:spacing w:after="120" w:line="276" w:lineRule="auto"/>
      </w:pPr>
      <w:r>
        <w:t xml:space="preserve">Putting the three adjustments together: start with net income of $200M; add back depreciation of $40M and stock-based compensation of $60M; subtract a $25M gain on an asset sale (non-operating). Then the working-capital changes: accounts receivable rose $30M (subtract $30M) while accounts payable </w:t>
      </w:r>
      <w:r>
        <w:lastRenderedPageBreak/>
        <w:t>rose $25M (add $25M). CFO = 200 + 40 + 60 − 25 − 30 + 25 = $270M. Notice the company generated more cash ($270M) than it reported in profit ($200</w:t>
      </w:r>
      <w:proofErr w:type="gramStart"/>
      <w:r>
        <w:t>M) —</w:t>
      </w:r>
      <w:proofErr w:type="gramEnd"/>
      <w:r>
        <w:t xml:space="preserve"> mainly because depreciation and SBC are non-cash — a common and healthy pattern.</w:t>
      </w:r>
    </w:p>
    <w:p w14:paraId="4DF41DE2" w14:textId="77777777" w:rsidR="000B7B94" w:rsidRDefault="00395D3D">
      <w:pPr>
        <w:pStyle w:val="Heading2"/>
        <w:spacing w:before="260" w:after="120"/>
      </w:pPr>
      <w:r>
        <w:rPr>
          <w:b/>
          <w:bCs/>
          <w:color w:val="1F3864"/>
          <w:sz w:val="28"/>
          <w:szCs w:val="28"/>
        </w:rPr>
        <w:t>Cash Flow from Investing Activities (CFI)</w:t>
      </w:r>
    </w:p>
    <w:p w14:paraId="4DF41DE3" w14:textId="77777777" w:rsidR="000B7B94" w:rsidRDefault="00395D3D">
      <w:pPr>
        <w:spacing w:after="120" w:line="276" w:lineRule="auto"/>
      </w:pPr>
      <w:r>
        <w:t xml:space="preserve">CFI reports cash from buying and selling long-term assets and investments (not cash </w:t>
      </w:r>
      <w:proofErr w:type="gramStart"/>
      <w:r>
        <w:t>equivalents) —</w:t>
      </w:r>
      <w:proofErr w:type="gramEnd"/>
      <w:r>
        <w:t xml:space="preserve"> the company's long-term strategic direction.</w:t>
      </w:r>
    </w:p>
    <w:p w14:paraId="4DF41DE4" w14:textId="77777777" w:rsidR="000B7B94" w:rsidRDefault="00395D3D">
      <w:pPr>
        <w:pStyle w:val="ListParagraph"/>
        <w:numPr>
          <w:ilvl w:val="0"/>
          <w:numId w:val="2"/>
        </w:numPr>
        <w:spacing w:after="80" w:line="276" w:lineRule="auto"/>
      </w:pPr>
      <w:r>
        <w:rPr>
          <w:b/>
          <w:bCs/>
        </w:rPr>
        <w:t xml:space="preserve">Outflows: </w:t>
      </w:r>
      <w:r>
        <w:t>capital expenditures on PP&amp;E (Toyota's plants, AT&amp;T's network), cash for acquisitions (Microsoft buying a company), and purchases of long-term marketable securities (Apple investing excess cash).</w:t>
      </w:r>
    </w:p>
    <w:p w14:paraId="4DF41DE5" w14:textId="77777777" w:rsidR="000B7B94" w:rsidRDefault="00395D3D">
      <w:pPr>
        <w:pStyle w:val="ListParagraph"/>
        <w:numPr>
          <w:ilvl w:val="0"/>
          <w:numId w:val="2"/>
        </w:numPr>
        <w:spacing w:after="80" w:line="276" w:lineRule="auto"/>
      </w:pPr>
      <w:r>
        <w:rPr>
          <w:b/>
          <w:bCs/>
        </w:rPr>
        <w:t xml:space="preserve">Inflows: </w:t>
      </w:r>
      <w:r>
        <w:t>proceeds from selling PP&amp;E, long-term investments, or maturing securities.</w:t>
      </w:r>
    </w:p>
    <w:p w14:paraId="4DF41DE6" w14:textId="77777777" w:rsidR="000B7B94" w:rsidRDefault="00395D3D">
      <w:pPr>
        <w:spacing w:after="120" w:line="276" w:lineRule="auto"/>
      </w:pPr>
      <w:r>
        <w:t xml:space="preserve">Most growing or </w:t>
      </w:r>
      <w:proofErr w:type="gramStart"/>
      <w:r>
        <w:t>infrastructure-heavy</w:t>
      </w:r>
      <w:proofErr w:type="gramEnd"/>
      <w:r>
        <w:t xml:space="preserve"> companies run negative CFI as they invest — even mature firms like P&amp;G keep upgrading facilities. CFI can turn temporarily positive during restructuring or a large one-time asset sale.</w:t>
      </w:r>
    </w:p>
    <w:p w14:paraId="4DF41DE7" w14:textId="77777777" w:rsidR="000B7B94" w:rsidRDefault="00395D3D">
      <w:pPr>
        <w:spacing w:after="120" w:line="276" w:lineRule="auto"/>
      </w:pPr>
      <w:r>
        <w:t xml:space="preserve">This is the natural place to introduce Free Cash Flow (FCF) = CFO − Capital Expenditures — the cash a company generates after maintaining and growing its asset base, and what's </w:t>
      </w:r>
      <w:proofErr w:type="gramStart"/>
      <w:r>
        <w:t>really available</w:t>
      </w:r>
      <w:proofErr w:type="gramEnd"/>
      <w:r>
        <w:t xml:space="preserve"> for debt paydown, dividends, and buybacks. CapEx is the biggest CFI line for most firms, and the AI build-out has pushed it to records: in 2025, roughly Amazon $130B, Microsoft $90B, Google $91B, and Meta $72B, with the group guiding well above $600B for 2026 (Amazon alone near $220B), about three-quarters of it tied to AI data centers. Even with strong CFO, that scale of CapEx compresses free cash flow — a live illustration of why CFO alone can overstate how much cash a company truly </w:t>
      </w:r>
      <w:proofErr w:type="gramStart"/>
      <w:r>
        <w:t>has t</w:t>
      </w:r>
      <w:r>
        <w:t>o</w:t>
      </w:r>
      <w:proofErr w:type="gramEnd"/>
      <w:r>
        <w:t xml:space="preserve"> spare. The contrast across business models is stark: a </w:t>
      </w:r>
      <w:proofErr w:type="spellStart"/>
      <w:r>
        <w:t>hyperscaler</w:t>
      </w:r>
      <w:proofErr w:type="spellEnd"/>
      <w:r>
        <w:t xml:space="preserve"> pouring cash into data centers converts little of its CFO into free cash flow, while an asset-light software firm with modest CapEx keeps most of its CFO as FCF.</w:t>
      </w:r>
    </w:p>
    <w:p w14:paraId="4DF41DE8" w14:textId="77777777" w:rsidR="000B7B94" w:rsidRDefault="00395D3D">
      <w:pPr>
        <w:pStyle w:val="Heading2"/>
        <w:spacing w:before="260" w:after="120"/>
      </w:pPr>
      <w:r>
        <w:rPr>
          <w:b/>
          <w:bCs/>
          <w:color w:val="1F3864"/>
          <w:sz w:val="28"/>
          <w:szCs w:val="28"/>
        </w:rPr>
        <w:t>Cash Flow from Financing Activities (CFF)</w:t>
      </w:r>
    </w:p>
    <w:p w14:paraId="4DF41DE9" w14:textId="77777777" w:rsidR="000B7B94" w:rsidRDefault="00395D3D">
      <w:pPr>
        <w:spacing w:after="120" w:line="276" w:lineRule="auto"/>
      </w:pPr>
      <w:r>
        <w:t>CFF reports how the company is financed — debt, equity, and dividends.</w:t>
      </w:r>
    </w:p>
    <w:p w14:paraId="4DF41DEA" w14:textId="77777777" w:rsidR="000B7B94" w:rsidRDefault="00395D3D">
      <w:pPr>
        <w:pStyle w:val="ListParagraph"/>
        <w:numPr>
          <w:ilvl w:val="0"/>
          <w:numId w:val="2"/>
        </w:numPr>
        <w:spacing w:after="80" w:line="276" w:lineRule="auto"/>
      </w:pPr>
      <w:r>
        <w:rPr>
          <w:b/>
          <w:bCs/>
        </w:rPr>
        <w:t xml:space="preserve">Inflows: </w:t>
      </w:r>
      <w:r>
        <w:t>proceeds from issuing stock (IPO, secondary offering, employee plans) and from new borrowing (lines of credit, loans, bonds).</w:t>
      </w:r>
    </w:p>
    <w:p w14:paraId="4DF41DEB" w14:textId="77777777" w:rsidR="000B7B94" w:rsidRDefault="00395D3D">
      <w:pPr>
        <w:pStyle w:val="ListParagraph"/>
        <w:numPr>
          <w:ilvl w:val="0"/>
          <w:numId w:val="2"/>
        </w:numPr>
        <w:spacing w:after="80" w:line="276" w:lineRule="auto"/>
      </w:pPr>
      <w:r>
        <w:rPr>
          <w:b/>
          <w:bCs/>
        </w:rPr>
        <w:t xml:space="preserve">Outflows: </w:t>
      </w:r>
      <w:r>
        <w:t>repaying debt, repurchasing shares, and paying dividends.</w:t>
      </w:r>
    </w:p>
    <w:p w14:paraId="4DF41DEC" w14:textId="77777777" w:rsidR="000B7B94" w:rsidRDefault="00395D3D">
      <w:pPr>
        <w:spacing w:after="120" w:line="276" w:lineRule="auto"/>
      </w:pPr>
      <w:r>
        <w:t>CFF is often positive for young, growing firms that need outside funding, and negative for mature, cash-rich firms returning cash to shareholders and paying down debt.</w:t>
      </w:r>
    </w:p>
    <w:p w14:paraId="4DF41DED" w14:textId="77777777" w:rsidR="000B7B94" w:rsidRDefault="00395D3D">
      <w:pPr>
        <w:spacing w:after="120" w:line="276" w:lineRule="auto"/>
      </w:pPr>
      <w:r>
        <w:t xml:space="preserve">The hyperscalers show how the three sections interact: record CapEx (huge CFI outflows) is increasingly funded with new debt (CFF </w:t>
      </w:r>
      <w:proofErr w:type="gramStart"/>
      <w:r>
        <w:t>inflows) —</w:t>
      </w:r>
      <w:proofErr w:type="gramEnd"/>
      <w:r>
        <w:t xml:space="preserve"> the group raised over $100B of debt in 2025 to help pay for AI infrastructure. When a company's investing outflows outrun its operating cash, financing inflows fill the gap — exactly the pattern to watch, because it's sustainable only if the investments eventually lift CFO.</w:t>
      </w:r>
    </w:p>
    <w:p w14:paraId="4DF41DEE" w14:textId="77777777" w:rsidR="000B7B94" w:rsidRDefault="00395D3D">
      <w:pPr>
        <w:pStyle w:val="Heading2"/>
        <w:spacing w:before="260" w:after="120"/>
      </w:pPr>
      <w:r>
        <w:rPr>
          <w:b/>
          <w:bCs/>
          <w:color w:val="1F3864"/>
          <w:sz w:val="28"/>
          <w:szCs w:val="28"/>
        </w:rPr>
        <w:t>How the Three Statements Connect</w:t>
      </w:r>
    </w:p>
    <w:p w14:paraId="4DF41DEF" w14:textId="77777777" w:rsidR="000B7B94" w:rsidRDefault="00395D3D">
      <w:pPr>
        <w:pStyle w:val="ListParagraph"/>
        <w:numPr>
          <w:ilvl w:val="0"/>
          <w:numId w:val="2"/>
        </w:numPr>
        <w:spacing w:after="80" w:line="276" w:lineRule="auto"/>
      </w:pPr>
      <w:r>
        <w:t>The cash flow statement explains the change in the balance-sheet cash balance over the period.</w:t>
      </w:r>
    </w:p>
    <w:p w14:paraId="4DF41DF0" w14:textId="77777777" w:rsidR="000B7B94" w:rsidRDefault="00395D3D">
      <w:pPr>
        <w:pStyle w:val="ListParagraph"/>
        <w:numPr>
          <w:ilvl w:val="0"/>
          <w:numId w:val="2"/>
        </w:numPr>
        <w:spacing w:after="80" w:line="276" w:lineRule="auto"/>
      </w:pPr>
      <w:r>
        <w:lastRenderedPageBreak/>
        <w:t>Net income (income statement) is the starting point for CFO under the indirect method.</w:t>
      </w:r>
    </w:p>
    <w:p w14:paraId="4DF41DF1" w14:textId="77777777" w:rsidR="000B7B94" w:rsidRDefault="00395D3D">
      <w:pPr>
        <w:pStyle w:val="ListParagraph"/>
        <w:numPr>
          <w:ilvl w:val="0"/>
          <w:numId w:val="2"/>
        </w:numPr>
        <w:spacing w:after="80" w:line="276" w:lineRule="auto"/>
      </w:pPr>
      <w:r>
        <w:t xml:space="preserve">Capital expenditures (CFI outflow) increase gross fixed assets on the balance sheet; depreciation (income statement) </w:t>
      </w:r>
      <w:proofErr w:type="gramStart"/>
      <w:r>
        <w:t>raises</w:t>
      </w:r>
      <w:proofErr w:type="gramEnd"/>
      <w:r>
        <w:t xml:space="preserve"> accumulated depreciation and is added back in CFO.</w:t>
      </w:r>
    </w:p>
    <w:p w14:paraId="4DF41DF2" w14:textId="77777777" w:rsidR="000B7B94" w:rsidRDefault="00395D3D">
      <w:pPr>
        <w:pStyle w:val="ListParagraph"/>
        <w:numPr>
          <w:ilvl w:val="0"/>
          <w:numId w:val="2"/>
        </w:numPr>
        <w:spacing w:after="80" w:line="276" w:lineRule="auto"/>
      </w:pPr>
      <w:r>
        <w:t xml:space="preserve">Changes in debt balances </w:t>
      </w:r>
      <w:proofErr w:type="gramStart"/>
      <w:r>
        <w:t>appear</w:t>
      </w:r>
      <w:proofErr w:type="gramEnd"/>
      <w:r>
        <w:t xml:space="preserve"> </w:t>
      </w:r>
      <w:proofErr w:type="gramStart"/>
      <w:r>
        <w:t>as</w:t>
      </w:r>
      <w:proofErr w:type="gramEnd"/>
      <w:r>
        <w:t xml:space="preserve"> borrowings (inflows) or repayments (outflows) in CFF.</w:t>
      </w:r>
    </w:p>
    <w:p w14:paraId="4DF41DF3" w14:textId="77777777" w:rsidR="000B7B94" w:rsidRDefault="00395D3D">
      <w:pPr>
        <w:pStyle w:val="ListParagraph"/>
        <w:numPr>
          <w:ilvl w:val="0"/>
          <w:numId w:val="2"/>
        </w:numPr>
        <w:spacing w:after="80" w:line="276" w:lineRule="auto"/>
      </w:pPr>
      <w:r>
        <w:t xml:space="preserve">Share issuances and repurchases flow through common </w:t>
      </w:r>
      <w:proofErr w:type="gramStart"/>
      <w:r>
        <w:t>stock</w:t>
      </w:r>
      <w:proofErr w:type="gramEnd"/>
      <w:r>
        <w:t xml:space="preserve"> / treasury </w:t>
      </w:r>
      <w:proofErr w:type="gramStart"/>
      <w:r>
        <w:t>stock</w:t>
      </w:r>
      <w:proofErr w:type="gramEnd"/>
      <w:r>
        <w:t xml:space="preserve"> and appear in CFF.</w:t>
      </w:r>
    </w:p>
    <w:p w14:paraId="4DF41DF4" w14:textId="77777777" w:rsidR="000B7B94" w:rsidRDefault="00395D3D">
      <w:pPr>
        <w:pStyle w:val="ListParagraph"/>
        <w:numPr>
          <w:ilvl w:val="0"/>
          <w:numId w:val="2"/>
        </w:numPr>
        <w:spacing w:after="80" w:line="276" w:lineRule="auto"/>
      </w:pPr>
      <w:r>
        <w:t xml:space="preserve">Dividends </w:t>
      </w:r>
      <w:proofErr w:type="gramStart"/>
      <w:r>
        <w:t>reduce retained</w:t>
      </w:r>
      <w:proofErr w:type="gramEnd"/>
      <w:r>
        <w:t xml:space="preserve"> earnings and </w:t>
      </w:r>
      <w:proofErr w:type="gramStart"/>
      <w:r>
        <w:t>are</w:t>
      </w:r>
      <w:proofErr w:type="gramEnd"/>
      <w:r>
        <w:t xml:space="preserve"> a CFF outflow.</w:t>
      </w:r>
    </w:p>
    <w:p w14:paraId="4DF41DF5" w14:textId="77777777" w:rsidR="000B7B94" w:rsidRDefault="00395D3D">
      <w:pPr>
        <w:pStyle w:val="ListParagraph"/>
        <w:numPr>
          <w:ilvl w:val="0"/>
          <w:numId w:val="2"/>
        </w:numPr>
        <w:spacing w:after="80" w:line="276" w:lineRule="auto"/>
      </w:pPr>
      <w:r>
        <w:t>Changes in AR, inventory, AP, and accrued expenses appear as CFO adjustments.</w:t>
      </w:r>
    </w:p>
    <w:p w14:paraId="4DF41DF6" w14:textId="77777777" w:rsidR="000B7B94" w:rsidRDefault="00395D3D">
      <w:pPr>
        <w:pStyle w:val="Heading2"/>
        <w:spacing w:before="260" w:after="120"/>
      </w:pPr>
      <w:r>
        <w:rPr>
          <w:b/>
          <w:bCs/>
          <w:color w:val="1F3864"/>
          <w:sz w:val="28"/>
          <w:szCs w:val="28"/>
        </w:rPr>
        <w:t>Insights and Red Flags</w:t>
      </w:r>
    </w:p>
    <w:p w14:paraId="4DF41DF7" w14:textId="77777777" w:rsidR="000B7B94" w:rsidRDefault="00395D3D">
      <w:pPr>
        <w:pStyle w:val="Heading3"/>
        <w:spacing w:before="180" w:after="80"/>
      </w:pPr>
      <w:r>
        <w:rPr>
          <w:b/>
          <w:bCs/>
          <w:color w:val="1F3864"/>
        </w:rPr>
        <w:t>What each section reveals</w:t>
      </w:r>
    </w:p>
    <w:p w14:paraId="4DF41DF8" w14:textId="77777777" w:rsidR="000B7B94" w:rsidRDefault="00395D3D">
      <w:pPr>
        <w:pStyle w:val="ListParagraph"/>
        <w:numPr>
          <w:ilvl w:val="0"/>
          <w:numId w:val="2"/>
        </w:numPr>
        <w:spacing w:after="80" w:line="276" w:lineRule="auto"/>
      </w:pPr>
      <w:r>
        <w:rPr>
          <w:b/>
          <w:bCs/>
        </w:rPr>
        <w:t xml:space="preserve">CFO: </w:t>
      </w:r>
      <w:r>
        <w:t>can the core business fund itself and its growth? How does the trend compare with the industry? How much is just the SBC add-back?</w:t>
      </w:r>
    </w:p>
    <w:p w14:paraId="4DF41DF9" w14:textId="77777777" w:rsidR="000B7B94" w:rsidRDefault="00395D3D">
      <w:pPr>
        <w:pStyle w:val="ListParagraph"/>
        <w:numPr>
          <w:ilvl w:val="0"/>
          <w:numId w:val="2"/>
        </w:numPr>
        <w:spacing w:after="80" w:line="276" w:lineRule="auto"/>
      </w:pPr>
      <w:r>
        <w:rPr>
          <w:b/>
          <w:bCs/>
        </w:rPr>
        <w:t xml:space="preserve">CFI: </w:t>
      </w:r>
      <w:r>
        <w:t>organic growth (high CapEx) or acquisitions? Financial vs. strategic investments? Frequent disposals (restructuring)?</w:t>
      </w:r>
    </w:p>
    <w:p w14:paraId="4DF41DFA" w14:textId="77777777" w:rsidR="000B7B94" w:rsidRDefault="00395D3D">
      <w:pPr>
        <w:pStyle w:val="ListParagraph"/>
        <w:numPr>
          <w:ilvl w:val="0"/>
          <w:numId w:val="2"/>
        </w:numPr>
        <w:spacing w:after="80" w:line="276" w:lineRule="auto"/>
      </w:pPr>
      <w:r>
        <w:rPr>
          <w:b/>
          <w:bCs/>
        </w:rPr>
        <w:t xml:space="preserve">CFF: </w:t>
      </w:r>
      <w:r>
        <w:t>raising or returning capital, and via debt or equity? Are distributions reasonable relative to cash generated?</w:t>
      </w:r>
    </w:p>
    <w:p w14:paraId="4DF41DFB" w14:textId="77777777" w:rsidR="000B7B94" w:rsidRDefault="00395D3D">
      <w:pPr>
        <w:pStyle w:val="Heading3"/>
        <w:spacing w:before="180" w:after="80"/>
      </w:pPr>
      <w:r>
        <w:rPr>
          <w:b/>
          <w:bCs/>
          <w:color w:val="1F3864"/>
        </w:rPr>
        <w:t>Reading the signs: CFO / CFI / CFF patterns</w:t>
      </w:r>
    </w:p>
    <w:p w14:paraId="4DF41DFC" w14:textId="77777777" w:rsidR="000B7B94" w:rsidRDefault="00395D3D">
      <w:pPr>
        <w:spacing w:after="120" w:line="276" w:lineRule="auto"/>
      </w:pPr>
      <w:r>
        <w:t xml:space="preserve">The pattern of pluses and minuses across the three sections often tells the story </w:t>
      </w:r>
      <w:proofErr w:type="gramStart"/>
      <w:r>
        <w:t>at a glance</w:t>
      </w:r>
      <w:proofErr w:type="gramEnd"/>
      <w:r>
        <w:t>:</w:t>
      </w:r>
    </w:p>
    <w:p w14:paraId="4DF41DFD" w14:textId="77777777" w:rsidR="000B7B94" w:rsidRDefault="00395D3D">
      <w:pPr>
        <w:pStyle w:val="ListParagraph"/>
        <w:numPr>
          <w:ilvl w:val="0"/>
          <w:numId w:val="2"/>
        </w:numPr>
        <w:spacing w:after="80" w:line="276" w:lineRule="auto"/>
      </w:pPr>
      <w:r>
        <w:t>Mature cash cow: +CFO, −CFI, −CFF — generating cash, investing modestly, and returning the rest to shareholders and lenders.</w:t>
      </w:r>
    </w:p>
    <w:p w14:paraId="4DF41DFE" w14:textId="77777777" w:rsidR="000B7B94" w:rsidRDefault="00395D3D">
      <w:pPr>
        <w:pStyle w:val="ListParagraph"/>
        <w:numPr>
          <w:ilvl w:val="0"/>
          <w:numId w:val="2"/>
        </w:numPr>
        <w:spacing w:after="80" w:line="276" w:lineRule="auto"/>
      </w:pPr>
      <w:r>
        <w:t>Early-stage startup: −CFO, −CFI, +CFF — burning cash and investing, funded by raising outside capital.</w:t>
      </w:r>
    </w:p>
    <w:p w14:paraId="4DF41DFF" w14:textId="77777777" w:rsidR="000B7B94" w:rsidRDefault="00395D3D">
      <w:pPr>
        <w:pStyle w:val="ListParagraph"/>
        <w:numPr>
          <w:ilvl w:val="0"/>
          <w:numId w:val="2"/>
        </w:numPr>
        <w:spacing w:after="80" w:line="276" w:lineRule="auto"/>
      </w:pPr>
      <w:r>
        <w:t>Fast-growing, self-funding platform: +CFO, large −CFI, ±CFF — strong operations plowed back into heavy investment (today's hyperscalers, now topped up with debt).</w:t>
      </w:r>
    </w:p>
    <w:p w14:paraId="4DF41E00" w14:textId="77777777" w:rsidR="000B7B94" w:rsidRDefault="00395D3D">
      <w:pPr>
        <w:pStyle w:val="ListParagraph"/>
        <w:numPr>
          <w:ilvl w:val="0"/>
          <w:numId w:val="2"/>
        </w:numPr>
        <w:spacing w:after="80" w:line="276" w:lineRule="auto"/>
      </w:pPr>
      <w:r>
        <w:t xml:space="preserve">Company in distress: weak or negative CFO with +CFI from selling assets — raising cash by </w:t>
      </w:r>
      <w:proofErr w:type="gramStart"/>
      <w:r>
        <w:t>shrinking,</w:t>
      </w:r>
      <w:proofErr w:type="gramEnd"/>
      <w:r>
        <w:t xml:space="preserve"> a warning sign.</w:t>
      </w:r>
    </w:p>
    <w:p w14:paraId="4DF41E01" w14:textId="77777777" w:rsidR="000B7B94" w:rsidRDefault="00395D3D">
      <w:pPr>
        <w:pStyle w:val="Heading3"/>
        <w:spacing w:before="180" w:after="80"/>
      </w:pPr>
      <w:r>
        <w:rPr>
          <w:b/>
          <w:bCs/>
          <w:color w:val="1F3864"/>
        </w:rPr>
        <w:t>Potential red flags</w:t>
      </w:r>
    </w:p>
    <w:p w14:paraId="4DF41E02" w14:textId="77777777" w:rsidR="000B7B94" w:rsidRDefault="00395D3D">
      <w:pPr>
        <w:pStyle w:val="ListParagraph"/>
        <w:numPr>
          <w:ilvl w:val="0"/>
          <w:numId w:val="2"/>
        </w:numPr>
        <w:spacing w:after="80" w:line="276" w:lineRule="auto"/>
      </w:pPr>
      <w:r>
        <w:t>A large, persistent gap between net income and CFO — CFO far below net income can signal non-cash gains or aggressive revenue recognition; CFO far above net income can signal unsustainable working-capital moves (stretching payables, squeezing collections).</w:t>
      </w:r>
    </w:p>
    <w:p w14:paraId="4DF41E03" w14:textId="77777777" w:rsidR="000B7B94" w:rsidRDefault="00395D3D">
      <w:pPr>
        <w:pStyle w:val="ListParagraph"/>
        <w:numPr>
          <w:ilvl w:val="0"/>
          <w:numId w:val="2"/>
        </w:numPr>
        <w:spacing w:after="80" w:line="276" w:lineRule="auto"/>
      </w:pPr>
      <w:r>
        <w:t>Consistently negative CFO at a mature company — a core-business problem that, without outside funding, eventually leads to insolvency.</w:t>
      </w:r>
    </w:p>
    <w:p w14:paraId="4DF41E04" w14:textId="77777777" w:rsidR="000B7B94" w:rsidRDefault="00395D3D">
      <w:pPr>
        <w:pStyle w:val="ListParagraph"/>
        <w:numPr>
          <w:ilvl w:val="0"/>
          <w:numId w:val="2"/>
        </w:numPr>
        <w:spacing w:after="80" w:line="276" w:lineRule="auto"/>
      </w:pPr>
      <w:r>
        <w:t>A large cash balance built from borrowing (positive CFF) or asset sales (positive CFI) rather than operations — may mask operating weakness.</w:t>
      </w:r>
    </w:p>
    <w:p w14:paraId="4DF41E05" w14:textId="77777777" w:rsidR="000B7B94" w:rsidRDefault="00395D3D">
      <w:pPr>
        <w:pStyle w:val="ListParagraph"/>
        <w:numPr>
          <w:ilvl w:val="0"/>
          <w:numId w:val="2"/>
        </w:numPr>
        <w:spacing w:after="80" w:line="276" w:lineRule="auto"/>
      </w:pPr>
      <w:r>
        <w:t>Cash returned to shareholders (buybacks + dividends) consistently exceeding CFO — likely funded by debt or asset sales, raising leverage unsustainably.</w:t>
      </w:r>
    </w:p>
    <w:p w14:paraId="4DF41E06" w14:textId="77777777" w:rsidR="000B7B94" w:rsidRDefault="00395D3D">
      <w:pPr>
        <w:spacing w:after="120" w:line="276" w:lineRule="auto"/>
      </w:pPr>
      <w:r>
        <w:lastRenderedPageBreak/>
        <w:t>None of these automatically means trouble — each needs context on the company, industry, and strategy. Investigate before concluding.</w:t>
      </w:r>
    </w:p>
    <w:p w14:paraId="4DF41E07" w14:textId="77777777" w:rsidR="000B7B94" w:rsidRDefault="00395D3D">
      <w:pPr>
        <w:pStyle w:val="Heading2"/>
        <w:spacing w:before="260" w:after="120"/>
      </w:pPr>
      <w:r>
        <w:rPr>
          <w:b/>
          <w:bCs/>
          <w:color w:val="1F3864"/>
          <w:sz w:val="28"/>
          <w:szCs w:val="28"/>
        </w:rPr>
        <w:t>In Conclusion</w:t>
      </w:r>
    </w:p>
    <w:p w14:paraId="4DF41E08" w14:textId="77777777" w:rsidR="000B7B94" w:rsidRDefault="00395D3D">
      <w:pPr>
        <w:spacing w:after="120" w:line="276" w:lineRule="auto"/>
      </w:pPr>
      <w:r>
        <w:t xml:space="preserve">The cash flow statement is indispensable for understanding financial health and the ability to generate cash — the lifeblood of any business. By focusing on the actual movement of cash across operating, investing, and financing activities, it reveals operational efficiency, investment in future growth, and capital management in ways the income statement and balance sheet alone cannot. For business professionals evaluating performance and long-term viability, reading it well — alongside the income statement </w:t>
      </w:r>
      <w:r>
        <w:t>and balance sheet — is essential.</w:t>
      </w:r>
    </w:p>
    <w:sectPr w:rsidR="000B7B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40585"/>
    <w:multiLevelType w:val="hybridMultilevel"/>
    <w:tmpl w:val="7D280182"/>
    <w:lvl w:ilvl="0" w:tplc="4D66C0A4">
      <w:start w:val="1"/>
      <w:numFmt w:val="bullet"/>
      <w:lvlText w:val="●"/>
      <w:lvlJc w:val="left"/>
      <w:pPr>
        <w:ind w:left="720" w:hanging="360"/>
      </w:pPr>
    </w:lvl>
    <w:lvl w:ilvl="1" w:tplc="D8143270">
      <w:start w:val="1"/>
      <w:numFmt w:val="bullet"/>
      <w:lvlText w:val="○"/>
      <w:lvlJc w:val="left"/>
      <w:pPr>
        <w:ind w:left="1440" w:hanging="360"/>
      </w:pPr>
    </w:lvl>
    <w:lvl w:ilvl="2" w:tplc="41420854">
      <w:start w:val="1"/>
      <w:numFmt w:val="bullet"/>
      <w:lvlText w:val="■"/>
      <w:lvlJc w:val="left"/>
      <w:pPr>
        <w:ind w:left="2160" w:hanging="360"/>
      </w:pPr>
    </w:lvl>
    <w:lvl w:ilvl="3" w:tplc="FEDA84A0">
      <w:start w:val="1"/>
      <w:numFmt w:val="bullet"/>
      <w:lvlText w:val="●"/>
      <w:lvlJc w:val="left"/>
      <w:pPr>
        <w:ind w:left="2880" w:hanging="360"/>
      </w:pPr>
    </w:lvl>
    <w:lvl w:ilvl="4" w:tplc="65E20056">
      <w:start w:val="1"/>
      <w:numFmt w:val="bullet"/>
      <w:lvlText w:val="○"/>
      <w:lvlJc w:val="left"/>
      <w:pPr>
        <w:ind w:left="3600" w:hanging="360"/>
      </w:pPr>
    </w:lvl>
    <w:lvl w:ilvl="5" w:tplc="41140EA0">
      <w:start w:val="1"/>
      <w:numFmt w:val="bullet"/>
      <w:lvlText w:val="■"/>
      <w:lvlJc w:val="left"/>
      <w:pPr>
        <w:ind w:left="4320" w:hanging="360"/>
      </w:pPr>
    </w:lvl>
    <w:lvl w:ilvl="6" w:tplc="4D867F76">
      <w:start w:val="1"/>
      <w:numFmt w:val="bullet"/>
      <w:lvlText w:val="●"/>
      <w:lvlJc w:val="left"/>
      <w:pPr>
        <w:ind w:left="5040" w:hanging="360"/>
      </w:pPr>
    </w:lvl>
    <w:lvl w:ilvl="7" w:tplc="634E418C">
      <w:start w:val="1"/>
      <w:numFmt w:val="bullet"/>
      <w:lvlText w:val="●"/>
      <w:lvlJc w:val="left"/>
      <w:pPr>
        <w:ind w:left="5760" w:hanging="360"/>
      </w:pPr>
    </w:lvl>
    <w:lvl w:ilvl="8" w:tplc="F44801FC">
      <w:start w:val="1"/>
      <w:numFmt w:val="bullet"/>
      <w:lvlText w:val="●"/>
      <w:lvlJc w:val="left"/>
      <w:pPr>
        <w:ind w:left="6480" w:hanging="360"/>
      </w:pPr>
    </w:lvl>
  </w:abstractNum>
  <w:abstractNum w:abstractNumId="1" w15:restartNumberingAfterBreak="0">
    <w:nsid w:val="624B1F81"/>
    <w:multiLevelType w:val="hybridMultilevel"/>
    <w:tmpl w:val="7AAEE42E"/>
    <w:lvl w:ilvl="0" w:tplc="6EB468D0">
      <w:start w:val="1"/>
      <w:numFmt w:val="bullet"/>
      <w:lvlText w:val="•"/>
      <w:lvlJc w:val="left"/>
      <w:pPr>
        <w:ind w:left="504" w:hanging="288"/>
      </w:pPr>
    </w:lvl>
    <w:lvl w:ilvl="1" w:tplc="5DE2065C">
      <w:numFmt w:val="decimal"/>
      <w:lvlText w:val=""/>
      <w:lvlJc w:val="left"/>
    </w:lvl>
    <w:lvl w:ilvl="2" w:tplc="67C67416">
      <w:numFmt w:val="decimal"/>
      <w:lvlText w:val=""/>
      <w:lvlJc w:val="left"/>
    </w:lvl>
    <w:lvl w:ilvl="3" w:tplc="F992DE8C">
      <w:numFmt w:val="decimal"/>
      <w:lvlText w:val=""/>
      <w:lvlJc w:val="left"/>
    </w:lvl>
    <w:lvl w:ilvl="4" w:tplc="36C81C0E">
      <w:numFmt w:val="decimal"/>
      <w:lvlText w:val=""/>
      <w:lvlJc w:val="left"/>
    </w:lvl>
    <w:lvl w:ilvl="5" w:tplc="C7A6B136">
      <w:numFmt w:val="decimal"/>
      <w:lvlText w:val=""/>
      <w:lvlJc w:val="left"/>
    </w:lvl>
    <w:lvl w:ilvl="6" w:tplc="F120F85A">
      <w:numFmt w:val="decimal"/>
      <w:lvlText w:val=""/>
      <w:lvlJc w:val="left"/>
    </w:lvl>
    <w:lvl w:ilvl="7" w:tplc="1F7414F0">
      <w:numFmt w:val="decimal"/>
      <w:lvlText w:val=""/>
      <w:lvlJc w:val="left"/>
    </w:lvl>
    <w:lvl w:ilvl="8" w:tplc="9246023A">
      <w:numFmt w:val="decimal"/>
      <w:lvlText w:val=""/>
      <w:lvlJc w:val="left"/>
    </w:lvl>
  </w:abstractNum>
  <w:num w:numId="1" w16cid:durableId="1528524418">
    <w:abstractNumId w:val="0"/>
    <w:lvlOverride w:ilvl="0">
      <w:startOverride w:val="1"/>
    </w:lvlOverride>
  </w:num>
  <w:num w:numId="2" w16cid:durableId="827289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B94"/>
    <w:rsid w:val="000B7B94"/>
    <w:rsid w:val="00127BC4"/>
    <w:rsid w:val="00395D3D"/>
    <w:rsid w:val="0066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41DB7"/>
  <w15:docId w15:val="{11FD026D-E06B-4FD1-8960-25FEC4A7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1641</Words>
  <Characters>9357</Characters>
  <Application>Microsoft Office Word</Application>
  <DocSecurity>0</DocSecurity>
  <Lines>77</Lines>
  <Paragraphs>21</Paragraphs>
  <ScaleCrop>false</ScaleCrop>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Veselina Dinova</cp:lastModifiedBy>
  <cp:revision>2</cp:revision>
  <dcterms:created xsi:type="dcterms:W3CDTF">2026-08-07T23:07:00Z</dcterms:created>
  <dcterms:modified xsi:type="dcterms:W3CDTF">2026-08-08T20:11:00Z</dcterms:modified>
</cp:coreProperties>
</file>