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6093" w:rsidRPr="00336093" w14:paraId="41F9BDAC" w14:textId="77777777" w:rsidTr="00336093">
        <w:tc>
          <w:tcPr>
            <w:tcW w:w="4788" w:type="dxa"/>
          </w:tcPr>
          <w:p w14:paraId="12D67E14" w14:textId="77777777" w:rsidR="001E1030" w:rsidRDefault="001E1030" w:rsidP="00336093">
            <w:pPr>
              <w:pStyle w:val="Title"/>
              <w:pBdr>
                <w:bottom w:val="none" w:sz="0" w:space="0" w:color="auto"/>
              </w:pBdr>
              <w:spacing w:after="0"/>
              <w:rPr>
                <w:sz w:val="32"/>
                <w:szCs w:val="32"/>
              </w:rPr>
            </w:pPr>
            <w:r w:rsidRPr="001E1030">
              <w:rPr>
                <w:sz w:val="32"/>
                <w:szCs w:val="32"/>
              </w:rPr>
              <w:t xml:space="preserve">Data </w:t>
            </w:r>
            <w:r w:rsidR="00E939A7">
              <w:rPr>
                <w:sz w:val="32"/>
                <w:szCs w:val="32"/>
              </w:rPr>
              <w:t>and Decisions</w:t>
            </w:r>
          </w:p>
          <w:p w14:paraId="49AF92BE" w14:textId="77777777" w:rsidR="00336093" w:rsidRPr="00336093" w:rsidRDefault="00336093" w:rsidP="00336093">
            <w:pPr>
              <w:pStyle w:val="Title"/>
              <w:pBdr>
                <w:bottom w:val="none" w:sz="0" w:space="0" w:color="auto"/>
              </w:pBdr>
              <w:spacing w:after="0"/>
              <w:rPr>
                <w:sz w:val="32"/>
                <w:szCs w:val="32"/>
              </w:rPr>
            </w:pPr>
            <w:r w:rsidRPr="00336093">
              <w:rPr>
                <w:sz w:val="32"/>
                <w:szCs w:val="32"/>
              </w:rPr>
              <w:t>Fall 2026</w:t>
            </w:r>
          </w:p>
          <w:p w14:paraId="6F9D55D1" w14:textId="77777777" w:rsidR="00336093" w:rsidRPr="00336093" w:rsidRDefault="00336093" w:rsidP="00336093">
            <w:pPr>
              <w:pStyle w:val="Title"/>
              <w:pBdr>
                <w:bottom w:val="none" w:sz="0" w:space="0" w:color="auto"/>
              </w:pBdr>
              <w:spacing w:after="0"/>
              <w:rPr>
                <w:sz w:val="32"/>
                <w:szCs w:val="32"/>
              </w:rPr>
            </w:pPr>
            <w:r w:rsidRPr="00336093">
              <w:rPr>
                <w:sz w:val="32"/>
                <w:szCs w:val="32"/>
              </w:rPr>
              <w:t>AI Consulting Experiment</w:t>
            </w:r>
          </w:p>
        </w:tc>
        <w:tc>
          <w:tcPr>
            <w:tcW w:w="4788" w:type="dxa"/>
          </w:tcPr>
          <w:p w14:paraId="01F2281E" w14:textId="77777777" w:rsidR="00336093" w:rsidRPr="00336093" w:rsidRDefault="00336093" w:rsidP="00336093">
            <w:pPr>
              <w:pStyle w:val="Title"/>
              <w:pBdr>
                <w:bottom w:val="none" w:sz="0" w:space="0" w:color="auto"/>
              </w:pBdr>
              <w:spacing w:after="0"/>
              <w:jc w:val="right"/>
              <w:rPr>
                <w:sz w:val="32"/>
                <w:szCs w:val="32"/>
              </w:rPr>
            </w:pPr>
            <w:r w:rsidRPr="00336093">
              <w:rPr>
                <w:sz w:val="32"/>
                <w:szCs w:val="32"/>
              </w:rPr>
              <w:t xml:space="preserve">In-Class Team Assignment SOLUTION </w:t>
            </w:r>
          </w:p>
        </w:tc>
      </w:tr>
    </w:tbl>
    <w:p w14:paraId="24EE40DC" w14:textId="77777777" w:rsidR="00336093" w:rsidRDefault="00336093" w:rsidP="00336093">
      <w:pPr>
        <w:pStyle w:val="Subtitle"/>
        <w:spacing w:after="0" w:line="240" w:lineRule="auto"/>
      </w:pPr>
    </w:p>
    <w:p w14:paraId="633B0C70" w14:textId="77777777" w:rsidR="00341AE0" w:rsidRDefault="00341AE0" w:rsidP="00336093">
      <w:pPr>
        <w:pStyle w:val="Subtitle"/>
        <w:spacing w:after="0" w:line="240" w:lineRule="auto"/>
      </w:pPr>
    </w:p>
    <w:p w14:paraId="6B5920B1" w14:textId="77777777" w:rsidR="00341AE0" w:rsidRDefault="00341AE0" w:rsidP="00336093">
      <w:pPr>
        <w:spacing w:after="0" w:line="240" w:lineRule="auto"/>
        <w:jc w:val="both"/>
      </w:pPr>
    </w:p>
    <w:p>
      <w:pPr>
        <w:jc w:val="both"/>
      </w:pPr>
      <w:r>
        <w:rPr>
          <w:b w:val="0"/>
          <w:i w:val="0"/>
          <w:sz w:val="20"/>
        </w:rPr>
        <w:t>Setup (2 minutes). From the bCourses Class 5 page download “bcg_frontier.csv”. Use any AI that can run code. In 2023, Boston Consulting Group and a team of researchers ran an experiment: 758 BCG consultants were randomly assigned to work with an AI assistant (treatment = AI) or without one (treatment = Control) on realistic consulting tasks. Today’s file is a classroom reconstruction of that experiment, simulated to match the published results — one row per consultant. Yesterday you compared a pilot to last year’s benchmark and had to hope nothing else had changed. Today, we are going to use a randomized control group, working the same quarter, on the same tasks. The question: should we give or even incentivize AI use for everyone?</w:t>
      </w:r>
    </w:p>
    <w:p/>
    <w:p>
      <w:pPr>
        <w:pStyle w:val="ListParagraph"/>
        <w:numPr>
          <w:ilvl w:val="0"/>
          <w:numId w:val="9"/>
        </w:numPr>
        <w:jc w:val="both"/>
      </w:pPr>
      <w:r>
        <w:rPr>
          <w:b/>
          <w:i w:val="0"/>
          <w:sz w:val="20"/>
        </w:rPr>
        <w:t>Did the Randomization “Work”?</w:t>
      </w:r>
    </w:p>
    <w:p>
      <w:pPr>
        <w:jc w:val="both"/>
      </w:pPr>
      <w:r>
        <w:rPr>
          <w:b w:val="0"/>
          <w:i w:val="0"/>
          <w:sz w:val="20"/>
        </w:rPr>
        <w:t>Randomization ensures the treatment and control group means look similar (i.e. same average skill, same average work experience, same office mix, etc…). Thus, any observable gap in performance that opens after treatment can be causally attributed to the treatment (subject to weird things happen, which p-values tell you). However, should look similar is a claim that you should always check. Give your AI the file and this exact request: “Compare the AI and Control groups on tenure_years, skill_baseline, female, and office. Report group means or shares and a p-value for each difference.” Before pressing “enter” discuss what this prompt is actually doing.</w:t>
      </w:r>
    </w:p>
    <w:p>
      <w:pPr>
        <w:jc w:val="both"/>
      </w:pPr>
      <w:r>
        <w:rPr>
          <w:b w:val="0"/>
          <w:i/>
          <w:sz w:val="20"/>
        </w:rPr>
        <w:t>Solution note — the pre-enter discussion: these are balance checks, the experiment’s receipts. Each asks whether a pre-treatment variable differs between the groups by more than chance. Randomization guarantees balance on average — including on everything nobody measured — but any single draw can be slightly off, so you verify. Expect small differences, unremarkable p-values, and roughly one flag in twenty at α = .05 even when nothing is wrong. Mechanically these are today’s two-sample comparisons: yesterday’s t-test with the fixed bar replaced by the other group’s mean.</w:t>
      </w:r>
    </w:p>
    <w:p>
      <w:pPr>
        <w:pStyle w:val="ListParagraph"/>
        <w:numPr>
          <w:ilvl w:val="0"/>
          <w:numId w:val="7"/>
        </w:numPr>
        <w:jc w:val="both"/>
      </w:pPr>
      <w:r>
        <w:rPr>
          <w:b w:val="0"/>
          <w:i w:val="0"/>
          <w:sz w:val="20"/>
        </w:rPr>
        <w:t>You should find exactly one statistically significant difference: tenure (about half a year, p ≈ 0.04). A teammate declares the randomization broken and the experiment invalid. Is it? You just ran four checks at α = 0.05 — what did yesterday’s α promise about false alarms (hint: when conducting repeated tests, what does that imply for type I error rates)?</w:t>
      </w:r>
    </w:p>
    <w:p>
      <w:pPr>
        <w:jc w:val="both"/>
      </w:pPr>
      <w:r>
        <w:rPr>
          <w:b w:val="0"/>
          <w:i/>
          <w:sz w:val="20"/>
        </w:rPr>
        <w:t>Solution: The randomization is fine. Each test carries its own 5% false-alarm rate, so four checks at α = .05 give a 1 − 0.95⁴ ≈ 19% chance of at least one false flag even under perfect randomization — a scattered p ≈ 0.04 in a balance table is what healthy experiments look like. The gap is also trivial in business terms: half a year of tenure on a seven-year average, next to outcome differences of fifteen-plus standard errors below. If it still nags, check whether tenure predicts the outcomes, or adjust for it — that is Block 3’s tool (regression) arriving on schedule. The wrong move is the teammate’s: declaring a design broken over one modest p-value among several is yesterday’s Type I logic forgotten the moment the tests came in a table.</w:t>
      </w:r>
    </w:p>
    <w:p/>
    <w:p>
      <w:pPr>
        <w:pStyle w:val="ListParagraph"/>
        <w:numPr>
          <w:ilvl w:val="0"/>
          <w:numId w:val="7"/>
        </w:numPr>
        <w:jc w:val="both"/>
      </w:pPr>
      <w:r>
        <w:rPr>
          <w:b w:val="0"/>
          <w:i w:val="0"/>
          <w:sz w:val="20"/>
        </w:rPr>
        <w:t>Yesterday’s pilot was compared to last year’s $166. Name one specific thing that could have contaminated that comparison, and explain why a control group can help with this concern.</w:t>
      </w:r>
    </w:p>
    <w:p>
      <w:pPr>
        <w:jc w:val="both"/>
      </w:pPr>
      <w:r>
        <w:rPr>
          <w:b w:val="0"/>
          <w:i/>
          <w:sz w:val="20"/>
        </w:rPr>
        <w:t>Solution: Anything that changed between last year and this quarter contaminated yesterday’s comparison — the fall promo, the economy, seasonality, a site redesign. Every one of them moves the pilot’s average while the shipping offer contributes nothing, and no p-value can tell you which story you are in. A control group helps because it lives through the same quarter, the same market, the same shocks: whatever hits the treatment group hits the control group too, so it cancels out of the comparison, and the only systematic difference left between the groups is the coin flip. The counterfactual is measured rather than assumed — which is why the best way to learn about a causal relationship is an experiment.</w:t>
      </w:r>
    </w:p>
    <w:p/>
    <w:p>
      <w:pPr>
        <w:pStyle w:val="ListParagraph"/>
        <w:numPr>
          <w:ilvl w:val="0"/>
          <w:numId w:val="9"/>
        </w:numPr>
        <w:jc w:val="both"/>
      </w:pPr>
      <w:r>
        <w:rPr>
          <w:b/>
          <w:i w:val="0"/>
          <w:sz w:val="20"/>
        </w:rPr>
        <w:t>Measure treatment effects</w:t>
      </w:r>
    </w:p>
    <w:p>
      <w:pPr>
        <w:jc w:val="both"/>
      </w:pPr>
      <w:r>
        <w:rPr>
          <w:b w:val="0"/>
          <w:i w:val="0"/>
          <w:sz w:val="20"/>
        </w:rPr>
        <w:t>The main observable tasks for the consultants in the experiment were the following: brainstorming, drafting, analysis, persuasion. Ask your AI: “Compare the AI and Control groups on avg_quality (graded 1–8), tasks_completed (out of 18), and minutes_per_task: group means, differences, and p-values from two-sample t-tests.” Before pressing “enter” discuss what this prompt is actually doing — and what has replaced yesterday’s fixed bar of $170. The group means are printed below so you can check your AI’s work; fill in the last two columns.</w:t>
      </w:r>
    </w:p>
    <w:p>
      <w:pPr>
        <w:jc w:val="both"/>
      </w:pPr>
      <w:r>
        <w:rPr>
          <w:b w:val="0"/>
          <w:i/>
          <w:sz w:val="20"/>
        </w:rPr>
        <w:t>Solution note — the pre-enter discussion: the prompt runs three two-sample comparisons. What replaced the $170 bar is the Control group’s own mean — an estimated benchmark that carries its own noise, which is why both groups’ variability now sits in the standard error. The hypotheses are implicit: H0, the AI changed nothing (AI mean = Control mean); H1, it did.</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20"/>
              </w:rPr>
              <w:t>Metric</w:t>
            </w:r>
          </w:p>
        </w:tc>
        <w:tc>
          <w:tcPr>
            <w:tcW w:type="dxa" w:w="1872"/>
          </w:tcPr>
          <w:p>
            <w:r/>
            <w:r>
              <w:rPr>
                <w:b/>
                <w:sz w:val="20"/>
              </w:rPr>
              <w:t>AI mean</w:t>
            </w:r>
          </w:p>
        </w:tc>
        <w:tc>
          <w:tcPr>
            <w:tcW w:type="dxa" w:w="1872"/>
          </w:tcPr>
          <w:p>
            <w:r/>
            <w:r>
              <w:rPr>
                <w:b/>
                <w:sz w:val="20"/>
              </w:rPr>
              <w:t>Control mean</w:t>
            </w:r>
          </w:p>
        </w:tc>
        <w:tc>
          <w:tcPr>
            <w:tcW w:type="dxa" w:w="1872"/>
          </w:tcPr>
          <w:p>
            <w:r/>
            <w:r>
              <w:rPr>
                <w:b/>
                <w:sz w:val="20"/>
              </w:rPr>
              <w:t>Difference</w:t>
            </w:r>
          </w:p>
        </w:tc>
        <w:tc>
          <w:tcPr>
            <w:tcW w:type="dxa" w:w="1872"/>
          </w:tcPr>
          <w:p>
            <w:r/>
            <w:r>
              <w:rPr>
                <w:b/>
                <w:sz w:val="20"/>
              </w:rPr>
              <w:t>p-value</w:t>
            </w:r>
          </w:p>
        </w:tc>
      </w:tr>
      <w:tr>
        <w:tc>
          <w:tcPr>
            <w:tcW w:type="dxa" w:w="1872"/>
          </w:tcPr>
          <w:p>
            <w:r/>
            <w:r>
              <w:rPr>
                <w:sz w:val="20"/>
              </w:rPr>
              <w:t>Average task quality (avg_quality, 1–8)</w:t>
            </w:r>
          </w:p>
        </w:tc>
        <w:tc>
          <w:tcPr>
            <w:tcW w:type="dxa" w:w="1872"/>
          </w:tcPr>
          <w:p>
            <w:r/>
            <w:r>
              <w:rPr>
                <w:sz w:val="20"/>
              </w:rPr>
              <w:t>5.62</w:t>
            </w:r>
          </w:p>
        </w:tc>
        <w:tc>
          <w:tcPr>
            <w:tcW w:type="dxa" w:w="1872"/>
          </w:tcPr>
          <w:p>
            <w:r/>
            <w:r>
              <w:rPr>
                <w:sz w:val="20"/>
              </w:rPr>
              <w:t>4.01</w:t>
            </w:r>
          </w:p>
        </w:tc>
        <w:tc>
          <w:tcPr>
            <w:tcW w:type="dxa" w:w="1872"/>
          </w:tcPr>
          <w:p>
            <w:r/>
            <w:r>
              <w:rPr>
                <w:i/>
                <w:sz w:val="20"/>
              </w:rPr>
              <w:t>+1.61</w:t>
            </w:r>
          </w:p>
        </w:tc>
        <w:tc>
          <w:tcPr>
            <w:tcW w:type="dxa" w:w="1872"/>
          </w:tcPr>
          <w:p>
            <w:r/>
            <w:r>
              <w:rPr>
                <w:i/>
                <w:sz w:val="20"/>
              </w:rPr>
              <w:t>&lt; 0.001</w:t>
            </w:r>
          </w:p>
        </w:tc>
      </w:tr>
      <w:tr>
        <w:tc>
          <w:tcPr>
            <w:tcW w:type="dxa" w:w="1872"/>
          </w:tcPr>
          <w:p>
            <w:r/>
            <w:r>
              <w:rPr>
                <w:sz w:val="20"/>
              </w:rPr>
              <w:t>Tasks completed (tasks_completed, of 18)</w:t>
            </w:r>
          </w:p>
        </w:tc>
        <w:tc>
          <w:tcPr>
            <w:tcW w:type="dxa" w:w="1872"/>
          </w:tcPr>
          <w:p>
            <w:r/>
            <w:r>
              <w:rPr>
                <w:sz w:val="20"/>
              </w:rPr>
              <w:t>13.22</w:t>
            </w:r>
          </w:p>
        </w:tc>
        <w:tc>
          <w:tcPr>
            <w:tcW w:type="dxa" w:w="1872"/>
          </w:tcPr>
          <w:p>
            <w:r/>
            <w:r>
              <w:rPr>
                <w:sz w:val="20"/>
              </w:rPr>
              <w:t>11.77</w:t>
            </w:r>
          </w:p>
        </w:tc>
        <w:tc>
          <w:tcPr>
            <w:tcW w:type="dxa" w:w="1872"/>
          </w:tcPr>
          <w:p>
            <w:r/>
            <w:r>
              <w:rPr>
                <w:i/>
                <w:sz w:val="20"/>
              </w:rPr>
              <w:t>+1.45</w:t>
            </w:r>
          </w:p>
        </w:tc>
        <w:tc>
          <w:tcPr>
            <w:tcW w:type="dxa" w:w="1872"/>
          </w:tcPr>
          <w:p>
            <w:r/>
            <w:r>
              <w:rPr>
                <w:i/>
                <w:sz w:val="20"/>
              </w:rPr>
              <w:t>&lt; 0.001</w:t>
            </w:r>
          </w:p>
        </w:tc>
      </w:tr>
      <w:tr>
        <w:tc>
          <w:tcPr>
            <w:tcW w:type="dxa" w:w="1872"/>
          </w:tcPr>
          <w:p>
            <w:r/>
            <w:r>
              <w:rPr>
                <w:sz w:val="20"/>
              </w:rPr>
              <w:t>Minutes per task (minutes_per_task)</w:t>
            </w:r>
          </w:p>
        </w:tc>
        <w:tc>
          <w:tcPr>
            <w:tcW w:type="dxa" w:w="1872"/>
          </w:tcPr>
          <w:p>
            <w:r/>
            <w:r>
              <w:rPr>
                <w:sz w:val="20"/>
              </w:rPr>
              <w:t>66.8</w:t>
            </w:r>
          </w:p>
        </w:tc>
        <w:tc>
          <w:tcPr>
            <w:tcW w:type="dxa" w:w="1872"/>
          </w:tcPr>
          <w:p>
            <w:r/>
            <w:r>
              <w:rPr>
                <w:sz w:val="20"/>
              </w:rPr>
              <w:t>87.6</w:t>
            </w:r>
          </w:p>
        </w:tc>
        <w:tc>
          <w:tcPr>
            <w:tcW w:type="dxa" w:w="1872"/>
          </w:tcPr>
          <w:p>
            <w:r/>
            <w:r>
              <w:rPr>
                <w:i/>
                <w:sz w:val="20"/>
              </w:rPr>
              <w:t>−20.7</w:t>
            </w:r>
          </w:p>
        </w:tc>
        <w:tc>
          <w:tcPr>
            <w:tcW w:type="dxa" w:w="1872"/>
          </w:tcPr>
          <w:p>
            <w:r/>
            <w:r>
              <w:rPr>
                <w:i/>
                <w:sz w:val="20"/>
              </w:rPr>
              <w:t>&lt; 0.001</w:t>
            </w:r>
          </w:p>
        </w:tc>
      </w:tr>
    </w:tbl>
    <w:p>
      <w:pPr>
        <w:jc w:val="both"/>
      </w:pPr>
      <w:r>
        <w:rPr>
          <w:b w:val="0"/>
          <w:i/>
          <w:sz w:val="20"/>
        </w:rPr>
        <w:t>(Exact values: quality +1.61, t = 21.4; tasks +1.45, t = 7.6; minutes −20.7, t = −15.8; all p &lt; 10⁻¹³. Group sizes 379 and 379.)</w:t>
      </w:r>
    </w:p>
    <w:p/>
    <w:p>
      <w:pPr>
        <w:pStyle w:val="ListParagraph"/>
        <w:numPr>
          <w:ilvl w:val="0"/>
          <w:numId w:val="7"/>
        </w:numPr>
        <w:jc w:val="both"/>
      </w:pPr>
      <w:r>
        <w:rPr>
          <w:b w:val="0"/>
          <w:i w:val="0"/>
          <w:sz w:val="20"/>
        </w:rPr>
        <w:t>At α = 0.05, which effects are statistically significant, and in which direction? Yesterday the word “caused” was not really used: the pilot beat a benchmark, and that was all you could say. Why might a causal effect be an appropriate interpretation now?</w:t>
      </w:r>
    </w:p>
    <w:p>
      <w:pPr>
        <w:jc w:val="both"/>
      </w:pPr>
      <w:r>
        <w:rPr>
          <w:b w:val="0"/>
          <w:i/>
          <w:sz w:val="20"/>
        </w:rPr>
        <w:t>Solution: All three are statistically significant, decisively: quality +1.61 points (+40%), tasks completed +1.45 (+12%), time −20.7 minutes per task (−24%), every p-value far below α = 0.05. A causal interpretation is appropriate now because of the design, not because the p-values are small: random assignment made the groups exchangeable before treatment, so nothing about the consultants — skill, tenure, motivation, anything unmeasured — can explain the gaps. The p-value prices the one rival explanation left standing, chance, and prices it out. Yesterday’s pilot always had a second rival — “the world changed since last year” — that no p-value could touch.</w:t>
      </w:r>
    </w:p>
    <w:p/>
    <w:p>
      <w:pPr>
        <w:pStyle w:val="ListParagraph"/>
        <w:numPr>
          <w:ilvl w:val="0"/>
          <w:numId w:val="7"/>
        </w:numPr>
        <w:jc w:val="both"/>
      </w:pPr>
      <w:r>
        <w:rPr>
          <w:b w:val="0"/>
          <w:i w:val="0"/>
          <w:sz w:val="20"/>
        </w:rPr>
        <w:t>The Chief Innovation Officer drafts a memo: “AI causes a 40% quality improvement… roll it out for all consulting work immediately.” The experiment supports some of that sentence. Which claims does it license, and which words may go beyond what the experiment show?</w:t>
      </w:r>
    </w:p>
    <w:p>
      <w:pPr>
        <w:jc w:val="both"/>
      </w:pPr>
      <w:r>
        <w:rPr>
          <w:b w:val="0"/>
          <w:i/>
          <w:sz w:val="20"/>
        </w:rPr>
        <w:t>Solution: “Causes” — licensed, by the design (see previous answer). “40%” — licensed as a point estimate for tasks like these: the 95% CI for the quality gain is 1.47 to 1.76 points, roughly 37% to 44% of the control mean, so the CIO’s rounding is honest. “All consulting work” — licensed by nothing in the file: the tested tasks all sat within what the AI at the time did well, so the experiment estimates the causal effect on that kind of work only — a limitation the next section makes expensive. (“Immediately” deserves a raised eyebrow too, but “all” is the word about to cost the firm money.) An experiment’s verdict is exactly as broad as its treatment and its tasks — no broader.</w:t>
      </w:r>
    </w:p>
    <w:p/>
    <w:p>
      <w:pPr>
        <w:pStyle w:val="ListParagraph"/>
        <w:numPr>
          <w:ilvl w:val="0"/>
          <w:numId w:val="9"/>
        </w:numPr>
        <w:jc w:val="both"/>
      </w:pPr>
      <w:r>
        <w:rPr>
          <w:b/>
          <w:i w:val="0"/>
          <w:sz w:val="20"/>
        </w:rPr>
        <w:t>Step outside the frontier</w:t>
      </w:r>
    </w:p>
    <w:p>
      <w:pPr>
        <w:jc w:val="both"/>
      </w:pPr>
      <w:r>
        <w:rPr>
          <w:b w:val="0"/>
          <w:i w:val="0"/>
          <w:sz w:val="20"/>
        </w:rPr>
        <w:t>The researchers also planted a different kind of task, one designed to sit outside of the AI’s capabilities at the time. It looked like standard spreadsheet analysis, but the right answer required combining the numbers with details buried in interview notes, and the AI’s confident read of the spreadsheet alone was incorrect. The column outside_correct records whether each consultant got that task right. Ask your AI: “Compare the share of consultants answering the outside task correctly (outside_correct) between the AI and Control groups, with a p-value.” Before pressing “enter”: predict the result, given the memo you just critiqued.</w:t>
      </w:r>
    </w:p>
    <w:p>
      <w:pPr>
        <w:pStyle w:val="ListParagraph"/>
        <w:numPr>
          <w:ilvl w:val="0"/>
          <w:numId w:val="7"/>
        </w:numPr>
        <w:jc w:val="both"/>
      </w:pPr>
      <w:r>
        <w:rPr>
          <w:b w:val="0"/>
          <w:i w:val="0"/>
          <w:sz w:val="20"/>
        </w:rPr>
        <w:t>Write the result as one sentence for the managing partner. Then attempt to reconcile: the same experiment proves the AI helps and also shows that it might hurt. What exactly does a randomized experiment estimate — and for what?</w:t>
      </w:r>
    </w:p>
    <w:p>
      <w:pPr>
        <w:jc w:val="both"/>
      </w:pPr>
      <w:r>
        <w:rPr>
          <w:b w:val="0"/>
          <w:i/>
          <w:sz w:val="20"/>
        </w:rPr>
        <w:t>Solution: One version: “On the task where the right answer wasn’t in the spreadsheet, consultants with AI were 19 percentage points more likely to get it wrong — 65% correct versus 84% without AI (p &lt; 0.001).” Reconciliation: both findings are causal and both are true; there is no such thing as “the” effect of AI. A randomized experiment estimates the average causal effect of the tested treatment, on the tested tasks, in the tested population. On tasks within the AI’s capabilities the effect is large and positive; one step outside them it is large and negative — and the consultants could not see the edge. (In the real study the drop was also about 19 points, and the third arm — AI plus training — did not fix it: over-trust survived the tutorial.)</w:t>
      </w:r>
    </w:p>
    <w:p/>
    <w:p>
      <w:pPr>
        <w:pStyle w:val="ListParagraph"/>
        <w:numPr>
          <w:ilvl w:val="0"/>
          <w:numId w:val="7"/>
        </w:numPr>
        <w:jc w:val="both"/>
      </w:pPr>
      <w:r>
        <w:rPr>
          <w:b w:val="0"/>
          <w:i w:val="0"/>
          <w:sz w:val="20"/>
        </w:rPr>
        <w:t>Your recommendation to the firm: give the AI to everyone, block it, or something else — and if something else, exactly what? Keep in mind: the consultants in the study could not tell which kind of task they were on.</w:t>
      </w:r>
    </w:p>
    <w:p>
      <w:pPr>
        <w:jc w:val="both"/>
      </w:pPr>
      <w:r>
        <w:rPr>
          <w:b w:val="0"/>
          <w:i/>
          <w:sz w:val="20"/>
        </w:rPr>
        <w:t>Solution: The defensible recommendation is “something else”: adoption with task-dependent guardrails, not a blanket yes or no. Strong specifics: (i) encourage — even incentivize — AI on the kinds of tasks the experiment tested (drafting, ideation, analysis of provided data), where the causal evidence is a 40% quality gain at 24% less time; (ii) require independent verification wherever correctness depends on information the AI may not have — the signature of the outside task; (iii) map the frontier for your own workflows before trusting the AI with high-stakes work: run exactly this experiment on your firm’s task types; (iv) treat “the AI said” as a first draft, never a citation. “Give it to everyone” walks the CIO’s memo off the cliff; “block it” pays a 40%-quality, 24%-time tax on every routine task, forever. Debrief extras baked into the file: below-median-skill consultants gained about twice the quality from AI as above-median ones (+2.2 vs. +1.0 points) — a leveling effect with real staffing implications. Reference: Dell’Acqua et al. (2023), “Navigating the Jagged Technological Frontier,” HBS Working Paper 24-013.</w:t>
      </w:r>
    </w:p>
    <w:p/>
    <w:sectPr w:rsidR="00FA7CC4" w:rsidSect="00336093">
      <w:pgSz w:w="12240" w:h="15840"/>
      <w:pgMar w:top="1440" w:right="1440" w:bottom="1440" w:left="1440" w:header="720" w:footer="720" w:gutter="0"/>
      <w:cols w:space="720"/>
      <w:docGrid w:linePitch="360"/>
    </w:sectPr>
    <w:p w14:paraId="0167CE1F" w14:textId="77777777" w:rsidR="00FA7CC4" w:rsidRDefault="00000000">
      <w:pPr>
        <w:jc w:val="both"/>
      </w:pPr>
      <w:r>
        <w:rPr>
          <w:b/>
          <w:sz w:val="20"/>
        </w:rPr>
        <w:t>Before you hand this in: add your team’s AI-use statement (a few sentences — which tools you used and what you used them for).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81CAC"/>
    <w:multiLevelType w:val="hybridMultilevel"/>
    <w:tmpl w:val="AE58FD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464F1"/>
    <w:multiLevelType w:val="hybridMultilevel"/>
    <w:tmpl w:val="C83A0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35D9C"/>
    <w:multiLevelType w:val="hybridMultilevel"/>
    <w:tmpl w:val="67D85A32"/>
    <w:lvl w:ilvl="0" w:tplc="C166176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157E9"/>
    <w:multiLevelType w:val="hybridMultilevel"/>
    <w:tmpl w:val="226CE74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D2D1837"/>
    <w:multiLevelType w:val="hybridMultilevel"/>
    <w:tmpl w:val="20303528"/>
    <w:lvl w:ilvl="0" w:tplc="E14CAB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B0F51"/>
    <w:multiLevelType w:val="hybridMultilevel"/>
    <w:tmpl w:val="A712F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94AC7"/>
    <w:multiLevelType w:val="hybridMultilevel"/>
    <w:tmpl w:val="C8C02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EE532F"/>
    <w:multiLevelType w:val="hybridMultilevel"/>
    <w:tmpl w:val="ECCCD5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BF2B19"/>
    <w:multiLevelType w:val="hybridMultilevel"/>
    <w:tmpl w:val="DF7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737124">
    <w:abstractNumId w:val="4"/>
  </w:num>
  <w:num w:numId="2" w16cid:durableId="1198858782">
    <w:abstractNumId w:val="5"/>
  </w:num>
  <w:num w:numId="3" w16cid:durableId="1753231984">
    <w:abstractNumId w:val="7"/>
  </w:num>
  <w:num w:numId="4" w16cid:durableId="495655731">
    <w:abstractNumId w:val="2"/>
  </w:num>
  <w:num w:numId="5" w16cid:durableId="53087220">
    <w:abstractNumId w:val="3"/>
  </w:num>
  <w:num w:numId="6" w16cid:durableId="782723129">
    <w:abstractNumId w:val="8"/>
  </w:num>
  <w:num w:numId="7" w16cid:durableId="134184680">
    <w:abstractNumId w:val="0"/>
  </w:num>
  <w:num w:numId="8" w16cid:durableId="973295189">
    <w:abstractNumId w:val="1"/>
  </w:num>
  <w:num w:numId="9" w16cid:durableId="147726192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060"/>
    <w:rsid w:val="00012C7C"/>
    <w:rsid w:val="00024554"/>
    <w:rsid w:val="00113387"/>
    <w:rsid w:val="00117F36"/>
    <w:rsid w:val="001504CA"/>
    <w:rsid w:val="00175C65"/>
    <w:rsid w:val="0018192B"/>
    <w:rsid w:val="001D588A"/>
    <w:rsid w:val="001E1030"/>
    <w:rsid w:val="002117E0"/>
    <w:rsid w:val="00214B4E"/>
    <w:rsid w:val="00271961"/>
    <w:rsid w:val="002831F5"/>
    <w:rsid w:val="002C509D"/>
    <w:rsid w:val="002E517D"/>
    <w:rsid w:val="002E5DB3"/>
    <w:rsid w:val="003235D8"/>
    <w:rsid w:val="00336093"/>
    <w:rsid w:val="00341AE0"/>
    <w:rsid w:val="003524C6"/>
    <w:rsid w:val="00384509"/>
    <w:rsid w:val="00455971"/>
    <w:rsid w:val="0047202E"/>
    <w:rsid w:val="004831C5"/>
    <w:rsid w:val="00493C8C"/>
    <w:rsid w:val="004A0326"/>
    <w:rsid w:val="004C1450"/>
    <w:rsid w:val="004C6599"/>
    <w:rsid w:val="004D7776"/>
    <w:rsid w:val="004D77A9"/>
    <w:rsid w:val="004E5A33"/>
    <w:rsid w:val="00531AB9"/>
    <w:rsid w:val="005945C0"/>
    <w:rsid w:val="005A5DDF"/>
    <w:rsid w:val="005F38A5"/>
    <w:rsid w:val="00683502"/>
    <w:rsid w:val="006C030B"/>
    <w:rsid w:val="007043C2"/>
    <w:rsid w:val="007440B9"/>
    <w:rsid w:val="00751060"/>
    <w:rsid w:val="00765100"/>
    <w:rsid w:val="008349BA"/>
    <w:rsid w:val="0083555C"/>
    <w:rsid w:val="00836511"/>
    <w:rsid w:val="00842C61"/>
    <w:rsid w:val="00863EC3"/>
    <w:rsid w:val="00863FAC"/>
    <w:rsid w:val="008865F6"/>
    <w:rsid w:val="008B114B"/>
    <w:rsid w:val="008F0527"/>
    <w:rsid w:val="00914CC6"/>
    <w:rsid w:val="00925EE8"/>
    <w:rsid w:val="00944817"/>
    <w:rsid w:val="009860BC"/>
    <w:rsid w:val="009F68AA"/>
    <w:rsid w:val="00A92D5B"/>
    <w:rsid w:val="00A97561"/>
    <w:rsid w:val="00AC0B8D"/>
    <w:rsid w:val="00B10AFF"/>
    <w:rsid w:val="00B73342"/>
    <w:rsid w:val="00D37129"/>
    <w:rsid w:val="00DF04B1"/>
    <w:rsid w:val="00E4100B"/>
    <w:rsid w:val="00E939A7"/>
    <w:rsid w:val="00EB0659"/>
    <w:rsid w:val="00ED6320"/>
    <w:rsid w:val="00EF3208"/>
    <w:rsid w:val="00F021CB"/>
    <w:rsid w:val="00F0770F"/>
    <w:rsid w:val="00F402A8"/>
    <w:rsid w:val="00F45394"/>
    <w:rsid w:val="00FA7CC4"/>
    <w:rsid w:val="00FB3531"/>
    <w:rsid w:val="00FD62F0"/>
    <w:rsid w:val="00FF195F"/>
    <w:rsid w:val="00FF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497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A5DD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060"/>
    <w:pPr>
      <w:ind w:left="720"/>
      <w:contextualSpacing/>
    </w:pPr>
  </w:style>
  <w:style w:type="paragraph" w:styleId="BalloonText">
    <w:name w:val="Balloon Text"/>
    <w:basedOn w:val="Normal"/>
    <w:link w:val="BalloonTextChar"/>
    <w:uiPriority w:val="99"/>
    <w:semiHidden/>
    <w:unhideWhenUsed/>
    <w:rsid w:val="004D7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776"/>
    <w:rPr>
      <w:rFonts w:ascii="Tahoma" w:hAnsi="Tahoma" w:cs="Tahoma"/>
      <w:sz w:val="16"/>
      <w:szCs w:val="16"/>
    </w:rPr>
  </w:style>
  <w:style w:type="character" w:styleId="PlaceholderText">
    <w:name w:val="Placeholder Text"/>
    <w:basedOn w:val="DefaultParagraphFont"/>
    <w:uiPriority w:val="99"/>
    <w:semiHidden/>
    <w:rsid w:val="004D7776"/>
    <w:rPr>
      <w:color w:val="808080"/>
    </w:rPr>
  </w:style>
  <w:style w:type="table" w:styleId="TableGrid">
    <w:name w:val="Table Grid"/>
    <w:basedOn w:val="TableNormal"/>
    <w:uiPriority w:val="59"/>
    <w:rsid w:val="00EF3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41AE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1AE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41A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41AE0"/>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866326">
      <w:bodyDiv w:val="1"/>
      <w:marLeft w:val="0"/>
      <w:marRight w:val="0"/>
      <w:marTop w:val="0"/>
      <w:marBottom w:val="0"/>
      <w:divBdr>
        <w:top w:val="none" w:sz="0" w:space="0" w:color="auto"/>
        <w:left w:val="none" w:sz="0" w:space="0" w:color="auto"/>
        <w:bottom w:val="none" w:sz="0" w:space="0" w:color="auto"/>
        <w:right w:val="none" w:sz="0" w:space="0" w:color="auto"/>
      </w:divBdr>
    </w:div>
    <w:div w:id="1286421630">
      <w:bodyDiv w:val="1"/>
      <w:marLeft w:val="0"/>
      <w:marRight w:val="0"/>
      <w:marTop w:val="0"/>
      <w:marBottom w:val="0"/>
      <w:divBdr>
        <w:top w:val="none" w:sz="0" w:space="0" w:color="auto"/>
        <w:left w:val="none" w:sz="0" w:space="0" w:color="auto"/>
        <w:bottom w:val="none" w:sz="0" w:space="0" w:color="auto"/>
        <w:right w:val="none" w:sz="0" w:space="0" w:color="auto"/>
      </w:divBdr>
    </w:div>
    <w:div w:id="1780568543">
      <w:bodyDiv w:val="1"/>
      <w:marLeft w:val="0"/>
      <w:marRight w:val="0"/>
      <w:marTop w:val="0"/>
      <w:marBottom w:val="0"/>
      <w:divBdr>
        <w:top w:val="none" w:sz="0" w:space="0" w:color="auto"/>
        <w:left w:val="none" w:sz="0" w:space="0" w:color="auto"/>
        <w:bottom w:val="none" w:sz="0" w:space="0" w:color="auto"/>
        <w:right w:val="none" w:sz="0" w:space="0" w:color="auto"/>
      </w:divBdr>
    </w:div>
    <w:div w:id="1901742695">
      <w:bodyDiv w:val="1"/>
      <w:marLeft w:val="0"/>
      <w:marRight w:val="0"/>
      <w:marTop w:val="0"/>
      <w:marBottom w:val="0"/>
      <w:divBdr>
        <w:top w:val="none" w:sz="0" w:space="0" w:color="auto"/>
        <w:left w:val="none" w:sz="0" w:space="0" w:color="auto"/>
        <w:bottom w:val="none" w:sz="0" w:space="0" w:color="auto"/>
        <w:right w:val="none" w:sz="0" w:space="0" w:color="auto"/>
      </w:divBdr>
    </w:div>
    <w:div w:id="19794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BB28-0C30-A84E-B90C-CE0101B8A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Haas Computing Services</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ldavis</dc:creator>
  <cp:lastModifiedBy>William Reed Walker</cp:lastModifiedBy>
  <cp:revision>20</cp:revision>
  <cp:lastPrinted>2013-09-02T15:14:00Z</cp:lastPrinted>
  <dcterms:created xsi:type="dcterms:W3CDTF">2013-09-02T14:58:00Z</dcterms:created>
  <dcterms:modified xsi:type="dcterms:W3CDTF">2026-09-09T14:03:00Z</dcterms:modified>
</cp:coreProperties>
</file>