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48"/>
          <w:szCs w:val="48"/>
        </w:rPr>
        <w:t xml:space="preserve">SmartUA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Google Ads API Integration — Design Document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Submitted in support of a Basic Access application to the Google Ads API</w:t>
      </w:r>
    </w:p>
    <w:p>
      <w:pPr>
        <w:jc w:val="center"/>
      </w:pPr>
      <w:r>
        <w:rPr>
          <w:color w:val="888888"/>
          <w:sz w:val="18"/>
          <w:szCs w:val="18"/>
        </w:rPr>
        <w:t xml:space="preserve">Version 1.0  |  Confidential — Internal Use Only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Tool Overview</w:t>
      </w:r>
    </w:p>
    <w:p>
      <w:r>
        <w:t xml:space="preserve">SmartUA is an internal user-acquisition (UA) campaign management and automation platform built for our own growth team. It connects to the Google Ads API to read campaign performance data and to apply a small, well-defined set of pre-approved optimization actions. The tool is used exclusively by internal UA operators and is not exposed to external clients or the public.</w:t>
      </w:r>
    </w:p>
    <w:p>
      <w:r>
        <w:t xml:space="preserve">This document describes the tool's purpose, intended audience, the scope of Google Ads API operations it performs, its architecture and data flow, and the security, approval, and rate-limiting controls that govern its use.</w:t>
      </w:r>
    </w:p>
    <w:p>
      <w:pPr>
        <w:pStyle w:val="Heading1"/>
      </w:pPr>
      <w:r>
        <w:rPr>
          <w:b/>
          <w:bCs/>
          <w:color w:val="1F4E79"/>
        </w:rPr>
        <w:t xml:space="preserve">2. Intended Use and Audience</w:t>
      </w:r>
    </w:p>
    <w:p>
      <w:pPr>
        <w:pStyle w:val="ListParagraph"/>
        <w:numPr>
          <w:ilvl w:val="0"/>
          <w:numId w:val="2"/>
        </w:numPr>
      </w:pPr>
      <w:r>
        <w:t xml:space="preserve">Primary audience: internal UA / growth-team employees only.</w:t>
      </w:r>
    </w:p>
    <w:p>
      <w:pPr>
        <w:pStyle w:val="ListParagraph"/>
        <w:numPr>
          <w:ilvl w:val="0"/>
          <w:numId w:val="2"/>
        </w:numPr>
      </w:pPr>
      <w:r>
        <w:t xml:space="preserve">The application and its OAuth client are configured for internal use; no external user accounts are provisioned or supported.</w:t>
      </w:r>
    </w:p>
    <w:p>
      <w:pPr>
        <w:pStyle w:val="ListParagraph"/>
        <w:numPr>
          <w:ilvl w:val="0"/>
          <w:numId w:val="2"/>
        </w:numPr>
      </w:pPr>
      <w:r>
        <w:t xml:space="preserve">Use case: routine monitoring and optimization of our own Google Ads campaigns to improve return on ad spend (ROAS) and reduce manual effort.</w:t>
      </w:r>
    </w:p>
    <w:p>
      <w:pPr>
        <w:pStyle w:val="ListParagraph"/>
        <w:numPr>
          <w:ilvl w:val="0"/>
          <w:numId w:val="2"/>
        </w:numPr>
      </w:pPr>
      <w:r>
        <w:t xml:space="preserve">No data is resold, shared with third parties, or used for any purpose outside internal campaign management.</w:t>
      </w:r>
    </w:p>
    <w:p>
      <w:pPr>
        <w:pStyle w:val="Heading1"/>
      </w:pPr>
      <w:r>
        <w:rPr>
          <w:b/>
          <w:bCs/>
          <w:color w:val="1F4E79"/>
        </w:rPr>
        <w:t xml:space="preserve">3. Functional Capabilities</w:t>
      </w:r>
    </w:p>
    <w:p>
      <w:pPr>
        <w:pStyle w:val="Heading2"/>
      </w:pPr>
      <w:r>
        <w:rPr>
          <w:b/>
          <w:bCs/>
        </w:rPr>
        <w:t xml:space="preserve">3.1 Read (monitoring &amp; reporting)</w:t>
      </w:r>
    </w:p>
    <w:p>
      <w:pPr>
        <w:pStyle w:val="ListParagraph"/>
        <w:numPr>
          <w:ilvl w:val="0"/>
          <w:numId w:val="2"/>
        </w:numPr>
      </w:pPr>
      <w:r>
        <w:t xml:space="preserve">Pull campaign, ad-group, and ad-level performance metrics: impressions, clicks, cost, installs, conversions, cost-per-install (CPI), and return on ad spend.</w:t>
      </w:r>
    </w:p>
    <w:p>
      <w:pPr>
        <w:pStyle w:val="ListParagraph"/>
        <w:numPr>
          <w:ilvl w:val="0"/>
          <w:numId w:val="2"/>
        </w:numPr>
      </w:pPr>
      <w:r>
        <w:t xml:space="preserve">Build internal dashboards and generate performance summaries for human reviewers.</w:t>
      </w:r>
    </w:p>
    <w:p>
      <w:pPr>
        <w:pStyle w:val="Heading2"/>
      </w:pPr>
      <w:r>
        <w:rPr>
          <w:b/>
          <w:bCs/>
        </w:rPr>
        <w:t xml:space="preserve">3.2 Write (limited, pre-approved optimization)</w:t>
      </w:r>
    </w:p>
    <w:p>
      <w:pPr>
        <w:pStyle w:val="ListParagraph"/>
        <w:numPr>
          <w:ilvl w:val="0"/>
          <w:numId w:val="2"/>
        </w:numPr>
      </w:pPr>
      <w:r>
        <w:t xml:space="preserve">Pause or enable campaigns based on performance rules.</w:t>
      </w:r>
    </w:p>
    <w:p>
      <w:pPr>
        <w:pStyle w:val="ListParagraph"/>
        <w:numPr>
          <w:ilvl w:val="0"/>
          <w:numId w:val="2"/>
        </w:numPr>
      </w:pPr>
      <w:r>
        <w:t xml:space="preserve">Adjust a campaign's daily budget within configured bounds.</w:t>
      </w:r>
    </w:p>
    <w:p>
      <w:pPr>
        <w:pStyle w:val="ListParagraph"/>
        <w:numPr>
          <w:ilvl w:val="0"/>
          <w:numId w:val="2"/>
        </w:numPr>
      </w:pPr>
      <w:r>
        <w:t xml:space="preserve">Update an ad group's bid (e.g., CPC bid).</w:t>
      </w:r>
    </w:p>
    <w:p>
      <w:pPr>
        <w:pStyle w:val="ListParagraph"/>
        <w:numPr>
          <w:ilvl w:val="0"/>
          <w:numId w:val="2"/>
        </w:numPr>
      </w:pPr>
      <w:r>
        <w:t xml:space="preserve">Rotate ad creatives by pausing under-performing ads.</w:t>
      </w:r>
    </w:p>
    <w:p>
      <w:r>
        <w:t xml:space="preserve">Every write action is derived from an explicit operator intent, validated by the platform, and gated by a human approval step (see Section 7) before it reaches the live API.</w:t>
      </w:r>
    </w:p>
    <w:p>
      <w:pPr>
        <w:pStyle w:val="Heading1"/>
      </w:pPr>
      <w:r>
        <w:rPr>
          <w:b/>
          <w:bCs/>
          <w:color w:val="1F4E79"/>
        </w:rPr>
        <w:t xml:space="preserve">4. Google Ads API Usage</w:t>
      </w:r>
    </w:p>
    <w:p>
      <w:pPr>
        <w:pStyle w:val="Heading2"/>
      </w:pPr>
      <w:r>
        <w:rPr>
          <w:b/>
          <w:bCs/>
        </w:rPr>
        <w:t xml:space="preserve">4.1 Authentication</w:t>
      </w:r>
    </w:p>
    <w:p>
      <w:pPr>
        <w:pStyle w:val="ListParagraph"/>
        <w:numPr>
          <w:ilvl w:val="0"/>
          <w:numId w:val="2"/>
        </w:numPr>
      </w:pPr>
      <w:r>
        <w:t xml:space="preserve">OAuth 2.0 with offline access; a long-lived refresh token is used for server-to-server calls (no interactive login at runtime).</w:t>
      </w:r>
    </w:p>
    <w:p>
      <w:pPr>
        <w:pStyle w:val="ListParagraph"/>
        <w:numPr>
          <w:ilvl w:val="0"/>
          <w:numId w:val="2"/>
        </w:numPr>
      </w:pPr>
      <w:r>
        <w:t xml:space="preserve">Granted scope: https://www.googleapis.com/auth/adwords (Google Ads API).</w:t>
      </w:r>
    </w:p>
    <w:p>
      <w:pPr>
        <w:pStyle w:val="ListParagraph"/>
        <w:numPr>
          <w:ilvl w:val="0"/>
          <w:numId w:val="2"/>
        </w:numPr>
      </w:pPr>
      <w:r>
        <w:t xml:space="preserve">Target customer (operating) account ID: 2046956901 (configured invisibly; not a user-facing field).</w:t>
      </w:r>
    </w:p>
    <w:p>
      <w:pPr>
        <w:pStyle w:val="Heading2"/>
      </w:pPr>
      <w:r>
        <w:rPr>
          <w:b/>
          <w:bCs/>
        </w:rPr>
        <w:t xml:space="preserve">4.2 Read operations (GoogleAdsService.Search, GAQL)</w:t>
      </w:r>
    </w:p>
    <w:p>
      <w:pPr>
        <w:pStyle w:val="ListParagraph"/>
        <w:numPr>
          <w:ilvl w:val="0"/>
          <w:numId w:val="2"/>
        </w:numPr>
      </w:pPr>
      <w:r>
        <w:t xml:space="preserve">SELECT campaign.id, campaign.name, campaign.status, campaign_budget.amount_micros, metrics.* FROM campaign WHERE segments.date BETWEEN ...</w:t>
      </w:r>
    </w:p>
    <w:p>
      <w:pPr>
        <w:pStyle w:val="ListParagraph"/>
        <w:numPr>
          <w:ilvl w:val="0"/>
          <w:numId w:val="2"/>
        </w:numPr>
      </w:pPr>
      <w:r>
        <w:t xml:space="preserve">Analogous queries for ad_group and ad_group_ad to surface installs, conversions, and cost.</w:t>
      </w:r>
    </w:p>
    <w:p>
      <w:pPr>
        <w:pStyle w:val="Heading2"/>
      </w:pPr>
      <w:r>
        <w:rPr>
          <w:b/>
          <w:bCs/>
        </w:rPr>
        <w:t xml:space="preserve">4.3 Write operations (GoogleAdsService.Mutate)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mutate performed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campaign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CampaignOperation: status = ENABLED | PAUSED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campaign budget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CampaignBudgetOperation: amount_micros = daily_budget * 1,000,000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ad-set / ad-group bid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AdGroupOperation: cpc_bid_micros = bid * 1,000,000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Rotate creative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AdGroupAdOperation: status = PAUSED on the target ad</w:t>
            </w:r>
          </w:p>
        </w:tc>
      </w:tr>
    </w:tbl>
    <w:p>
      <w:pPr>
        <w:pStyle w:val="Heading1"/>
      </w:pPr>
      <w:r>
        <w:rPr>
          <w:b/>
          <w:bCs/>
          <w:color w:val="1F4E79"/>
        </w:rPr>
        <w:t xml:space="preserve">5. Architecture and Data Flow</w:t>
      </w:r>
    </w:p>
    <w:p>
      <w:pPr>
        <w:pStyle w:val="ListParagraph"/>
        <w:numPr>
          <w:ilvl w:val="0"/>
          <w:numId w:val="3"/>
        </w:numPr>
      </w:pPr>
      <w:r>
        <w:t xml:space="preserve">An operator issues a natural-language intent through the SmartUA console (e.g., "pause the under-performing campaign").</w:t>
      </w:r>
    </w:p>
    <w:p>
      <w:pPr>
        <w:pStyle w:val="ListParagraph"/>
        <w:numPr>
          <w:ilvl w:val="0"/>
          <w:numId w:val="3"/>
        </w:numPr>
      </w:pPr>
      <w:r>
        <w:t xml:space="preserve">The intent engine parses the request into a structured action.</w:t>
      </w:r>
    </w:p>
    <w:p>
      <w:pPr>
        <w:pStyle w:val="ListParagraph"/>
        <w:numPr>
          <w:ilvl w:val="0"/>
          <w:numId w:val="3"/>
        </w:numPr>
      </w:pPr>
      <w:r>
        <w:t xml:space="preserve">The agent runtime plans concrete steps and estimates their expected impact.</w:t>
      </w:r>
    </w:p>
    <w:p>
      <w:pPr>
        <w:pStyle w:val="ListParagraph"/>
        <w:numPr>
          <w:ilvl w:val="0"/>
          <w:numId w:val="3"/>
        </w:numPr>
      </w:pPr>
      <w:r>
        <w:t xml:space="preserve">Write actions are held at a human-in-the-loop approval gate (L1/L2) before any API call.</w:t>
      </w:r>
    </w:p>
    <w:p>
      <w:pPr>
        <w:pStyle w:val="ListParagraph"/>
        <w:numPr>
          <w:ilvl w:val="0"/>
          <w:numId w:val="3"/>
        </w:numPr>
      </w:pPr>
      <w:r>
        <w:t xml:space="preserve">The Google Ads connector translates the approved action into the appropriate GAQL Search or Mutate call.</w:t>
      </w:r>
    </w:p>
    <w:p>
      <w:pPr>
        <w:pStyle w:val="ListParagraph"/>
        <w:numPr>
          <w:ilvl w:val="0"/>
          <w:numId w:val="3"/>
        </w:numPr>
      </w:pPr>
      <w:r>
        <w:t xml:space="preserve">The API response is normalized, recorded, and fed back into the platform's analytics and memory for continuous learning.</w:t>
      </w:r>
    </w:p>
    <w:p>
      <w:r>
        <w:t xml:space="preserve">The connector layer is isolated behind a common interface, with an automatic mock fallback that is used in development and whenever live credentials are absent — ensuring no accidental calls to production during testing.</w:t>
      </w:r>
    </w:p>
    <w:p>
      <w:pPr>
        <w:pStyle w:val="Heading1"/>
      </w:pPr>
      <w:r>
        <w:rPr>
          <w:b/>
          <w:bCs/>
          <w:color w:val="1F4E79"/>
        </w:rPr>
        <w:t xml:space="preserve">6. Data Handling and Security</w:t>
      </w:r>
    </w:p>
    <w:p>
      <w:pPr>
        <w:pStyle w:val="ListParagraph"/>
        <w:numPr>
          <w:ilvl w:val="0"/>
          <w:numId w:val="2"/>
        </w:numPr>
      </w:pPr>
      <w:r>
        <w:t xml:space="preserve">Credentials: the OAuth 2.0 refresh token and client secret are stored server-side in an environment configuration file that is excluded from version control (.env, gitignored) and/or in an encrypted credentials table; they are never embedded in client code, logs, or error messages.</w:t>
      </w:r>
    </w:p>
    <w:p>
      <w:pPr>
        <w:pStyle w:val="ListParagraph"/>
        <w:numPr>
          <w:ilvl w:val="0"/>
          <w:numId w:val="2"/>
        </w:numPr>
      </w:pPr>
      <w:r>
        <w:t xml:space="preserve">No end-user Google account passwords are ever collected or stored by the tool.</w:t>
      </w:r>
    </w:p>
    <w:p>
      <w:pPr>
        <w:pStyle w:val="ListParagraph"/>
        <w:numPr>
          <w:ilvl w:val="0"/>
          <w:numId w:val="2"/>
        </w:numPr>
      </w:pPr>
      <w:r>
        <w:t xml:space="preserve">Token scope is limited to the adwords scope; the application requests only the access necessary for its function.</w:t>
      </w:r>
    </w:p>
    <w:p>
      <w:pPr>
        <w:pStyle w:val="ListParagraph"/>
        <w:numPr>
          <w:ilvl w:val="0"/>
          <w:numId w:val="2"/>
        </w:numPr>
      </w:pPr>
      <w:r>
        <w:t xml:space="preserve">Data accessed is limited to campaign performance aggregates (spend, installs, conversions). The tool does not process end-user personal data.</w:t>
      </w:r>
    </w:p>
    <w:p>
      <w:pPr>
        <w:pStyle w:val="ListParagraph"/>
        <w:numPr>
          <w:ilvl w:val="0"/>
          <w:numId w:val="2"/>
        </w:numPr>
      </w:pPr>
      <w:r>
        <w:t xml:space="preserve">Access to the tool itself is restricted to authenticated internal users.</w:t>
      </w:r>
    </w:p>
    <w:p>
      <w:pPr>
        <w:pStyle w:val="Heading1"/>
      </w:pPr>
      <w:r>
        <w:rPr>
          <w:b/>
          <w:bCs/>
          <w:color w:val="1F4E79"/>
        </w:rPr>
        <w:t xml:space="preserve">7. Permissions and Human-in-the-Loop Controls</w:t>
      </w:r>
    </w:p>
    <w:p>
      <w:pPr>
        <w:pStyle w:val="ListParagraph"/>
        <w:numPr>
          <w:ilvl w:val="0"/>
          <w:numId w:val="2"/>
        </w:numPr>
      </w:pPr>
      <w:r>
        <w:t xml:space="preserve">All write operations require an explicit human approval before execution: low-risk changes (L1) and higher-risk changes (L2) follow a tiered approval policy.</w:t>
      </w:r>
    </w:p>
    <w:p>
      <w:pPr>
        <w:pStyle w:val="ListParagraph"/>
        <w:numPr>
          <w:ilvl w:val="0"/>
          <w:numId w:val="2"/>
        </w:numPr>
      </w:pPr>
      <w:r>
        <w:t xml:space="preserve">Every approved or rejected action is recorded in an audit log with the actor and timestamp.</w:t>
      </w:r>
    </w:p>
    <w:p>
      <w:pPr>
        <w:pStyle w:val="ListParagraph"/>
        <w:numPr>
          <w:ilvl w:val="0"/>
          <w:numId w:val="2"/>
        </w:numPr>
      </w:pPr>
      <w:r>
        <w:t xml:space="preserve">The default operating platform is configurable; the system safely falls back to a non-destructive mock mode when live credentials are not present.</w:t>
      </w:r>
    </w:p>
    <w:p>
      <w:pPr>
        <w:pStyle w:val="Heading1"/>
      </w:pPr>
      <w:r>
        <w:rPr>
          <w:b/>
          <w:bCs/>
          <w:color w:val="1F4E79"/>
        </w:rPr>
        <w:t xml:space="preserve">8. Rate Limiting and Error Handling</w:t>
      </w:r>
    </w:p>
    <w:p>
      <w:pPr>
        <w:pStyle w:val="ListParagraph"/>
        <w:numPr>
          <w:ilvl w:val="0"/>
          <w:numId w:val="2"/>
        </w:numPr>
      </w:pPr>
      <w:r>
        <w:t xml:space="preserve">The connector respects Google Ads API rate limits and applies exponential backoff on 429 / retryable errors.</w:t>
      </w:r>
    </w:p>
    <w:p>
      <w:pPr>
        <w:pStyle w:val="ListParagraph"/>
        <w:numPr>
          <w:ilvl w:val="0"/>
          <w:numId w:val="2"/>
        </w:numPr>
      </w:pPr>
      <w:r>
        <w:t xml:space="preserve">Errors are captured and surfaced to operators; failed writes never leave the system in a partially corrupted state.</w:t>
      </w:r>
    </w:p>
    <w:p>
      <w:pPr>
        <w:pStyle w:val="ListParagraph"/>
        <w:numPr>
          <w:ilvl w:val="0"/>
          <w:numId w:val="2"/>
        </w:numPr>
      </w:pPr>
      <w:r>
        <w:t xml:space="preserve">A mock connector provides deterministic behavior for development and testing without consuming live API quota.</w:t>
      </w:r>
    </w:p>
    <w:p>
      <w:pPr>
        <w:pStyle w:val="Heading1"/>
      </w:pPr>
      <w:r>
        <w:rPr>
          <w:b/>
          <w:bCs/>
          <w:color w:val="1F4E79"/>
        </w:rPr>
        <w:t xml:space="preserve">9. Compliance Commitment</w:t>
      </w:r>
    </w:p>
    <w:p>
      <w:pPr>
        <w:pStyle w:val="ListParagraph"/>
        <w:numPr>
          <w:ilvl w:val="0"/>
          <w:numId w:val="2"/>
        </w:numPr>
      </w:pPr>
      <w:r>
        <w:t xml:space="preserve">SmartUA is built to comply with the Google Ads API Terms of Service and the associated policy for API Clients.</w:t>
      </w:r>
    </w:p>
    <w:p>
      <w:pPr>
        <w:pStyle w:val="ListParagraph"/>
        <w:numPr>
          <w:ilvl w:val="0"/>
          <w:numId w:val="2"/>
        </w:numPr>
      </w:pPr>
      <w:r>
        <w:t xml:space="preserve">The tool is for internal use only; no data is resold, transferred to third parties, or used beyond the stated purpose.</w:t>
      </w:r>
    </w:p>
    <w:p>
      <w:pPr>
        <w:pStyle w:val="ListParagraph"/>
        <w:numPr>
          <w:ilvl w:val="0"/>
          <w:numId w:val="2"/>
        </w:numPr>
      </w:pPr>
      <w:r>
        <w:t xml:space="preserve">We commit to keeping the OAuth consent screen accurate and to maintaining security practices for stored credentials.</w:t>
      </w:r>
    </w:p>
    <w:p>
      <w:pPr>
        <w:spacing w:before="400"/>
      </w:pPr>
      <w:r>
        <w:rPr>
          <w:i/>
          <w:iCs/>
          <w:color w:val="88888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2026-07-12T22:55:28.744Z</dcterms:created>
  <dcterms:modified xsi:type="dcterms:W3CDTF">2026-07-12T22:55:28.745Z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