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8F430" w14:textId="756F4FF8" w:rsidR="008A734A" w:rsidRDefault="008A734A" w:rsidP="008A734A">
      <w:pPr>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w:t>PHỤ LỤC</w:t>
      </w:r>
    </w:p>
    <w:p w14:paraId="601D8A6D" w14:textId="24541A12" w:rsidR="00165112" w:rsidRPr="004676FF" w:rsidRDefault="00165112" w:rsidP="00165112">
      <w:pPr>
        <w:spacing w:line="240" w:lineRule="auto"/>
        <w:rPr>
          <w:rFonts w:ascii="Times New Roman" w:hAnsi="Times New Roman" w:cs="Times New Roman"/>
          <w:b/>
          <w:bCs/>
          <w:sz w:val="26"/>
          <w:szCs w:val="26"/>
        </w:rPr>
      </w:pPr>
      <w:r w:rsidRPr="004676FF">
        <w:rPr>
          <w:rFonts w:ascii="Times New Roman" w:hAnsi="Times New Roman" w:cs="Times New Roman"/>
          <w:b/>
          <w:bCs/>
          <w:sz w:val="26"/>
          <w:szCs w:val="26"/>
        </w:rPr>
        <w:t>I. Điều 16 Nghị định 316/2025/NĐ-CP</w:t>
      </w:r>
      <w:bookmarkStart w:id="0" w:name="_Toc201010425"/>
      <w:bookmarkStart w:id="1" w:name="_Toc203552221"/>
      <w:bookmarkStart w:id="2" w:name="_Ref205298356"/>
      <w:bookmarkStart w:id="3" w:name="_Ref205298912"/>
      <w:bookmarkStart w:id="4" w:name="_Ref206141154"/>
      <w:bookmarkStart w:id="5" w:name="_Ref206408284"/>
      <w:bookmarkStart w:id="6" w:name="_Ref209533142"/>
      <w:bookmarkStart w:id="7" w:name="_Toc210983169"/>
      <w:bookmarkStart w:id="8" w:name="_Ref211328634"/>
      <w:bookmarkStart w:id="9" w:name="_Ref214578193"/>
    </w:p>
    <w:bookmarkEnd w:id="0"/>
    <w:bookmarkEnd w:id="1"/>
    <w:bookmarkEnd w:id="2"/>
    <w:bookmarkEnd w:id="3"/>
    <w:bookmarkEnd w:id="4"/>
    <w:bookmarkEnd w:id="5"/>
    <w:bookmarkEnd w:id="6"/>
    <w:bookmarkEnd w:id="7"/>
    <w:bookmarkEnd w:id="8"/>
    <w:bookmarkEnd w:id="9"/>
    <w:p w14:paraId="68546A9C"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1. Việc khảo sát, đánh giá địa điểm xây dựng nhà máy điện hạt nhân cần thực hiện các nội dung sau:</w:t>
      </w:r>
    </w:p>
    <w:p w14:paraId="098ADBE9"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a) Khảo sát đứt gãy, biểu hiện động đất và núi lửa có thể ảnh hưởng tới an toàn nhà máy điện hạt nhân theo các nội dung sau đây: khảo sát điều kiện địa chất, kiến tạo của khu vực; thu thập và tổng hợp các số liệu động đất; xác định nguy cơ động đất trên cơ sở đánh giá điều kiện địa chấn và kiến tạo khu vực; xác định nguy cơ rung động nền do động đất trên cơ sở đặc trưng kiến tạo khu vực và số liệu cụ thể của địa điểm;</w:t>
      </w:r>
    </w:p>
    <w:p w14:paraId="2F232913"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b) Khảo sát các đặc tính địa kỹ thuật và nền móng, xây dựng mặt cắt địa kỹ thuật của địa điểm để xác định khả năng trượt lở đất, đá, xói lở bờ sông, bờ biển, sườn dốc ở địa điểm dự kiến và lân cận; khả năng nâng, hạ, sụt, sập nền đất ở địa điểm dự kiến trên cơ sở bản đồ địa chất, tài liệu hiện có, lưu ý về karst và các hầm lò, giếng, hố khoan; khả năng xảy ra hóa lỏng nền đất trên cơ sở các thông số và giá trị rung động nền đặc trưng; tính chất cơ lý của nền và các vật thể lạ trong đó; tính ổn định của nền đất dưới tác động của tải trọng tĩnh và động; động thái và tính chất hóa lý của nước ngầm;</w:t>
      </w:r>
    </w:p>
    <w:p w14:paraId="72EB96EA"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c) Khảo sát, dự báo các hiện tượng khí tượng, thủy văn, bao gồm ảnh hưởng của thiên tai đối với địa điểm; khảo sát, dự báo các hiện tượng khí tượng, thủy văn có khả năng gây ra các đặc thù về phát tán hoặc ngưng tụ phóng xạ, tiềm ẩn ảnh hưởng có hại vượt quá giới hạn cho phép đối với con người và môi trường của địa điểm và khu vực xây dựng nhà máy điện hạt nhân;</w:t>
      </w:r>
    </w:p>
    <w:p w14:paraId="5309871E"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 xml:space="preserve">d) Khảo sát toàn diện các nguyên nhân xảy ra lũ lụt do vỡ đê, đập, do mưa, bão, sóng thần, động đất hoặc các hiện tượng địa chất khác; </w:t>
      </w:r>
    </w:p>
    <w:p w14:paraId="2F916A55"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đ) Đánh giá ảnh hưởng đối với nhà máy điện hạt nhân do hoạt động của con người gây ra, bao gồm thu thập, khảo sát thông tin về vật liệu nguy hại, cháy, nổ, ăn mòn, độc hại được lưu giữ, vận chuyển và sử dụng, các hoạt động diễn tập quân sự, các tuyến đường ống dẫn nhiên liệu; khảo sát các kho, bến bãi, nơi khai thác và lưu giữ khoáng sản có nguy cơ ngăn dòng nước tạm thời gây ngập lụt hay sụt nền đất; khảo sát vị trí sân bay, chủng loại máy bay, hành lang và tần suất bay; khảo sát các tuyến giao thông trên bộ, trên sông và trên biển, bao gồm loại phương tiện, tần suất, đặc điểm chuyên chở, các cảng, bến đỗ, nhà ga; lưu ý các tuyến giao thông đông đúc, các điểm giao nhau;</w:t>
      </w:r>
    </w:p>
    <w:p w14:paraId="78A90FF3"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 xml:space="preserve">e) Đánh giá ảnh hưởng của bức xạ đối với cộng đồng dân cư, bao gồm phân bố và mật độ dân cư, dự báo biến động dân số trong khu vực; đánh giá cách thức lan truyền, phát tán vật liệu phóng xạ trong không khí và nước trên cơ sở các thông số khí tượng như hướng và tốc độ gió, sự nhiễu động không khí, độ ẩm, lượng mưa, bức xạ mặt trời, các thông số thủy văn như đặc điểm sông, suối, nước mặt và nước ngầm, cùng với đặc điểm địa hình như núi cao, thung lũng và ảnh hưởng của các công trình xây dựng lớn; xác định phông bức xạ và liều chiếu xạ đối với cộng đồng dân cư địa phương; đánh giá nguy cơ tác động bức xạ đối với dân chúng làm cơ sở cho kế hoạch ứng phó sự cố, có lưu ý đến quy hoạch </w:t>
      </w:r>
      <w:r w:rsidRPr="004676FF">
        <w:rPr>
          <w:rFonts w:ascii="Times New Roman" w:hAnsi="Times New Roman" w:cs="Times New Roman"/>
          <w:sz w:val="26"/>
          <w:szCs w:val="26"/>
          <w:lang w:val="nl-NL"/>
        </w:rPr>
        <w:lastRenderedPageBreak/>
        <w:t>sử dụng đất, nguồn nước và lương thực, thực phẩm tại địa phương; xem xét điều kiện xây dựng hệ thống giao thông phục vụ kế hoạch sơ tán, khả năng cung ứng lương thực, thực phẩm và hạ tầng cơ sở sinh hoạt cho dân chúng tại khu vực sơ tán; xác định điều kiện và địa điểm thiết lập trung tâm ứng phó khẩn cấp bên ngoài nhà máy điện hạt nhân; đánh giá sự phù hợp của địa điểm liên quan đến tiềm năng phát triển kinh tế - xã hội của khu vực như thương mại, công nghiệp, du lịch, và nguy cơ gia tăng rủi ro do tác động của nhà máy điện hạt nhân đối với khu vực cũng như của các hoạt động trong khu vực lên nhà máy;</w:t>
      </w:r>
    </w:p>
    <w:p w14:paraId="08D5CBA7"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g) Đánh giá nguồn nước làm mát và điện cấp cho hoạt động của nhà máy;</w:t>
      </w:r>
    </w:p>
    <w:p w14:paraId="0CF26837"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 xml:space="preserve">h) Đánh giá khả năng </w:t>
      </w:r>
      <w:r w:rsidRPr="004676FF">
        <w:rPr>
          <w:rFonts w:ascii="Times New Roman" w:eastAsia="Times New Roman" w:hAnsi="Times New Roman" w:cs="Times New Roman"/>
          <w:sz w:val="26"/>
          <w:szCs w:val="26"/>
          <w:lang w:val="nl-NL"/>
        </w:rPr>
        <w:t>kết nối hệ thống lưới điện để giải toả công suất của nhà máy khi vận hành;</w:t>
      </w:r>
    </w:p>
    <w:p w14:paraId="4A94AF57"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i) Đánh giá các công trình, đường ống và hạ tầng kỹ thuật trong và lân cận địa điểm nhà máy điện hạt nhân về khả năng bị lợi dụng để xâm nhập trái phép hoặc phá hoại; đồng thời có biện pháp bảo vệ phù hợp trong thiết kế và vận hành hệ thống bảo vệ thực thể;</w:t>
      </w:r>
    </w:p>
    <w:p w14:paraId="451780A2"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k) Đánh giá việc sử dụng đất, các cơ sở công nghiệp, quân sự, kho chứa vật liệu nguy hại và khu vực công cộng lân cận có khả năng ảnh hưởng đến an toàn, an ninh hạt nhân;</w:t>
      </w:r>
    </w:p>
    <w:p w14:paraId="31AEB380"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l) Đánh giá và xác định không gian cần thiết để xây dựng hàng rào bảo vệ an ninh và lắp đặt các thiết bị của hệ thống bảo vệ thực thể;</w:t>
      </w:r>
    </w:p>
    <w:p w14:paraId="1628F784"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m) Đánh giá các đặc điểm của địa điểm và địa hình có ảnh hưởng đến việc bảo đảm an ninh hạt nhân, bao gồm: nhu cầu áp dụng biện pháp kiểm soát tiếp cận; tầm nhìn từ bên ngoài; các lối đi bị che khuất; các khó khăn trong việc xây dựng hàng rào bảo vệ an ninh và bố trí hệ thống giám sát, kiểm soát ra vào;</w:t>
      </w:r>
    </w:p>
    <w:p w14:paraId="3CAC3767"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n) Đánh giá các đặc điểm tự nhiên của địa điểm có khả năng tác động đến việc thiết kế, xây dựng và vận hành hệ thống bảo vệ thực thể, bao gồm: điều kiện khí hậu và hiện tượng khí tượng cực đoan; nguy cơ ngập lụt, khô hạn; đặc điểm địa chất, địa chấn và các yếu tố khác;</w:t>
      </w:r>
    </w:p>
    <w:p w14:paraId="35D649F4"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o) Đánh giá khả năng tiếp cận, ứng phó khẩn cấp của lực lượng bên ngoài.</w:t>
      </w:r>
    </w:p>
    <w:p w14:paraId="78DFDFD1"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2. Báo cáo tổng quan về lựa chọn địa điểm bao gồm các nội dung sau:</w:t>
      </w:r>
    </w:p>
    <w:p w14:paraId="3F9A4E63"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a) Tóm tắt về quá trình lựa chọn địa điểm;</w:t>
      </w:r>
    </w:p>
    <w:p w14:paraId="1DBDF060" w14:textId="77777777" w:rsidR="00165112" w:rsidRPr="004676FF" w:rsidRDefault="00165112" w:rsidP="00165112">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b) Tóm tắt về hoạt động khảo sát, đánh giá địa điểm theo nội dung quy định tại khoản 1 Điều này;</w:t>
      </w:r>
    </w:p>
    <w:p w14:paraId="1ABB667F" w14:textId="77777777" w:rsidR="00165112" w:rsidRPr="004676FF" w:rsidRDefault="00165112" w:rsidP="00165112">
      <w:pPr>
        <w:spacing w:line="240" w:lineRule="auto"/>
        <w:rPr>
          <w:rFonts w:ascii="Times New Roman" w:hAnsi="Times New Roman" w:cs="Times New Roman"/>
          <w:spacing w:val="-8"/>
          <w:sz w:val="26"/>
          <w:szCs w:val="26"/>
          <w:lang w:val="nl-NL"/>
        </w:rPr>
      </w:pPr>
      <w:r w:rsidRPr="004676FF">
        <w:rPr>
          <w:rFonts w:ascii="Times New Roman" w:hAnsi="Times New Roman" w:cs="Times New Roman"/>
          <w:spacing w:val="-8"/>
          <w:sz w:val="26"/>
          <w:szCs w:val="26"/>
          <w:lang w:val="nl-NL"/>
        </w:rPr>
        <w:t>c) Số tổ máy, công nghệ, công suất dự kiến xây dựng tại địa điểm xin phê duyệt;</w:t>
      </w:r>
    </w:p>
    <w:p w14:paraId="6AC4BCDB" w14:textId="5165B104" w:rsidR="00165112" w:rsidRDefault="00165112" w:rsidP="00DC4703">
      <w:pPr>
        <w:jc w:val="center"/>
      </w:pPr>
      <w:r w:rsidRPr="004676FF">
        <w:rPr>
          <w:rFonts w:ascii="Times New Roman" w:hAnsi="Times New Roman" w:cs="Times New Roman"/>
          <w:sz w:val="26"/>
          <w:szCs w:val="26"/>
          <w:lang w:val="nl-NL"/>
        </w:rPr>
        <w:t xml:space="preserve">d) </w:t>
      </w:r>
      <w:r w:rsidRPr="004676FF">
        <w:rPr>
          <w:rFonts w:ascii="Times New Roman" w:eastAsia="Times New Roman" w:hAnsi="Times New Roman" w:cs="Times New Roman"/>
          <w:sz w:val="26"/>
          <w:szCs w:val="26"/>
          <w:lang w:val="nl-NL"/>
        </w:rPr>
        <w:t xml:space="preserve">Luận chứng địa điểm được lựa chọn đáp ứng các tiêu chí, yêu cầu an toàn, an ninh được quy định trong </w:t>
      </w:r>
      <w:r w:rsidRPr="004676FF">
        <w:rPr>
          <w:rFonts w:ascii="Times New Roman" w:hAnsi="Times New Roman" w:cs="Times New Roman"/>
          <w:sz w:val="26"/>
          <w:szCs w:val="26"/>
          <w:lang w:val="nl-NL"/>
        </w:rPr>
        <w:t>văn bản quy phạm pháp luật, quy chuẩn kỹ thuật, tiêu chuẩn quốc gia, tiêu chuẩn quốc tế, tiêu chuẩn và quy định kỹ thuật</w:t>
      </w:r>
      <w:r w:rsidR="00DC4703">
        <w:rPr>
          <w:rFonts w:ascii="Times New Roman" w:hAnsi="Times New Roman" w:cs="Times New Roman"/>
          <w:sz w:val="26"/>
          <w:szCs w:val="26"/>
          <w:lang w:val="nl-NL"/>
        </w:rPr>
        <w:t>.</w:t>
      </w:r>
      <w:r w:rsidRPr="004676FF">
        <w:rPr>
          <w:rFonts w:ascii="Times New Roman" w:hAnsi="Times New Roman" w:cs="Times New Roman"/>
          <w:sz w:val="26"/>
          <w:szCs w:val="26"/>
          <w:lang w:val="nl-NL"/>
        </w:rPr>
        <w:t xml:space="preserve"> nước ngoài được áp dụng</w:t>
      </w:r>
      <w:r w:rsidR="00DC4703">
        <w:rPr>
          <w:rFonts w:ascii="Times New Roman" w:hAnsi="Times New Roman" w:cs="Times New Roman"/>
          <w:sz w:val="26"/>
          <w:szCs w:val="26"/>
          <w:lang w:val="nl-NL"/>
        </w:rPr>
        <w:t>.</w:t>
      </w:r>
    </w:p>
    <w:sectPr w:rsidR="00165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12"/>
    <w:rsid w:val="00165112"/>
    <w:rsid w:val="008A734A"/>
    <w:rsid w:val="00BB6ADB"/>
    <w:rsid w:val="00DC4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9752"/>
  <w15:chartTrackingRefBased/>
  <w15:docId w15:val="{A75041C9-F6B3-48F2-9682-DDFEBF8D2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112"/>
    <w:pPr>
      <w:spacing w:before="120" w:after="120" w:line="312" w:lineRule="auto"/>
      <w:ind w:firstLine="720"/>
      <w:jc w:val="both"/>
    </w:pPr>
  </w:style>
  <w:style w:type="paragraph" w:styleId="Heading1">
    <w:name w:val="heading 1"/>
    <w:basedOn w:val="Normal"/>
    <w:next w:val="Normal"/>
    <w:link w:val="Heading1Char"/>
    <w:uiPriority w:val="9"/>
    <w:qFormat/>
    <w:rsid w:val="00165112"/>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112"/>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112"/>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112"/>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112"/>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112"/>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112"/>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112"/>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112"/>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112"/>
    <w:rPr>
      <w:rFonts w:eastAsiaTheme="majorEastAsia" w:cstheme="majorBidi"/>
      <w:color w:val="272727" w:themeColor="text1" w:themeTint="D8"/>
    </w:rPr>
  </w:style>
  <w:style w:type="paragraph" w:styleId="Title">
    <w:name w:val="Title"/>
    <w:basedOn w:val="Normal"/>
    <w:next w:val="Normal"/>
    <w:link w:val="TitleChar"/>
    <w:uiPriority w:val="10"/>
    <w:qFormat/>
    <w:rsid w:val="00165112"/>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112"/>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112"/>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165112"/>
    <w:rPr>
      <w:i/>
      <w:iCs/>
      <w:color w:val="404040" w:themeColor="text1" w:themeTint="BF"/>
    </w:rPr>
  </w:style>
  <w:style w:type="paragraph" w:styleId="ListParagraph">
    <w:name w:val="List Paragraph"/>
    <w:basedOn w:val="Normal"/>
    <w:uiPriority w:val="34"/>
    <w:qFormat/>
    <w:rsid w:val="00165112"/>
    <w:pPr>
      <w:spacing w:before="0" w:after="160" w:line="278" w:lineRule="auto"/>
      <w:ind w:left="720" w:firstLine="0"/>
      <w:contextualSpacing/>
      <w:jc w:val="left"/>
    </w:pPr>
  </w:style>
  <w:style w:type="character" w:styleId="IntenseEmphasis">
    <w:name w:val="Intense Emphasis"/>
    <w:basedOn w:val="DefaultParagraphFont"/>
    <w:uiPriority w:val="21"/>
    <w:qFormat/>
    <w:rsid w:val="00165112"/>
    <w:rPr>
      <w:i/>
      <w:iCs/>
      <w:color w:val="0F4761" w:themeColor="accent1" w:themeShade="BF"/>
    </w:rPr>
  </w:style>
  <w:style w:type="paragraph" w:styleId="IntenseQuote">
    <w:name w:val="Intense Quote"/>
    <w:basedOn w:val="Normal"/>
    <w:next w:val="Normal"/>
    <w:link w:val="IntenseQuoteChar"/>
    <w:uiPriority w:val="30"/>
    <w:qFormat/>
    <w:rsid w:val="00165112"/>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165112"/>
    <w:rPr>
      <w:i/>
      <w:iCs/>
      <w:color w:val="0F4761" w:themeColor="accent1" w:themeShade="BF"/>
    </w:rPr>
  </w:style>
  <w:style w:type="character" w:styleId="IntenseReference">
    <w:name w:val="Intense Reference"/>
    <w:basedOn w:val="DefaultParagraphFont"/>
    <w:uiPriority w:val="32"/>
    <w:qFormat/>
    <w:rsid w:val="001651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2026-07-15T01:09:00Z</dcterms:created>
  <dcterms:modified xsi:type="dcterms:W3CDTF">2026-07-15T01:42:00Z</dcterms:modified>
</cp:coreProperties>
</file>